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11/2006/NĐ-CP Về việc ban hành Quy chế hoạt động văn hoá và kinh doanh dịch vụ văn hoá công cộng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11/2006/NĐ-CP</w:t>
        <w:br/>
        <w:t xml:space="preserve">     </w:t>
      </w:r>
      <w:r>
        <w:rPr>
          <w:b w:val="0"/>
          <w:i w:val="0"/>
        </w:rPr>
        <w:br/>
      </w:r>
      <w:r>
        <w:rPr>
          <w:b w:val="0"/>
          <w:i/>
        </w:rPr>
        <w:br/>
        <w:t xml:space="preserve">      Ngày 18 tháng 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11/2006/NĐ-CP</w:t>
        <w:br/>
        <w:t xml:space="preserve">     </w:t>
      </w:r>
      <w:r>
        <w:rPr>
          <w:b w:val="0"/>
          <w:i w:val="0"/>
        </w:rPr>
        <w:br/>
      </w:r>
      <w:r>
        <w:rPr>
          <w:b w:val="0"/>
          <w:i/>
        </w:rPr>
        <w:br/>
        <w:t xml:space="preserve">      Ngày 18 tháng 1 năm 2006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11/2006/NĐ-CP</w:t>
        <w:br/>
        <w:t xml:space="preserve">     </w:t>
      </w:r>
      <w:r>
        <w:rPr>
          <w:b w:val="0"/>
          <w:i w:val="0"/>
        </w:rPr>
        <w:br/>
      </w:r>
      <w:r>
        <w:rPr>
          <w:b w:val="0"/>
          <w:i/>
        </w:rPr>
        <w:br/>
        <w:t xml:space="preserve">      Ngày 18 tháng 1 năm 2006</w:t>
        <w:br/>
        <w:t xml:space="preserve">     </w:t>
      </w:r>
      <w:r>
        <w:rPr>
          <w:b w:val="0"/>
          <w:i w:val="0"/>
        </w:rPr>
        <w:br/>
      </w:r>
    </w:p>
    <w:p>
      <w:pPr>
        <w:jc w:val="center"/>
      </w:pPr>
      <w:r>
        <w:rPr>
          <w:b w:val="0"/>
          <w:i w:val="0"/>
        </w:rPr>
        <w:br/>
        <w:t xml:space="preserve">      Số: 11/2006/NĐ-CP</w:t>
        <w:br/>
        <w:t xml:space="preserve">     </w:t>
      </w:r>
    </w:p>
    <w:p>
      <w:pPr>
        <w:jc w:val="center"/>
      </w:pPr>
      <w:r>
        <w:rPr>
          <w:b w:val="0"/>
          <w:i w:val="0"/>
        </w:rPr>
        <w:br/>
        <w:t xml:space="preserve">      Ngày 18 tháng 1 năm 2006</w:t>
        <w:br/>
        <w:t xml:space="preserve">     </w:t>
      </w:r>
    </w:p>
    <w:p>
      <w:pPr>
        <w:jc w:val="center"/>
      </w:pPr>
      <w:r>
        <w:rPr>
          <w:b/>
          <w:i w:val="0"/>
        </w:rPr>
        <w:t>NGHỊ ĐỊNH</w:t>
      </w:r>
    </w:p>
    <w:p>
      <w:pPr>
        <w:jc w:val="center"/>
      </w:pPr>
      <w:r>
        <w:rPr>
          <w:b/>
          <w:i w:val="0"/>
        </w:rPr>
        <w:t>Về việc ban hành Quy chế hoạt động văn hoá và kinh doanh dịch vụ văn hoá công cộng</w:t>
      </w:r>
    </w:p>
    <w:p>
      <w:pPr>
        <w:jc w:val="center"/>
      </w:pPr>
      <w:r>
        <w:rPr>
          <w:b/>
          <w:i w:val="0"/>
        </w:rPr>
        <w:t>______________________________________</w:t>
      </w:r>
    </w:p>
    <w:p>
      <w:pPr>
        <w:jc w:val="center"/>
      </w:pPr>
      <w:r>
        <w:rPr>
          <w:b/>
          <w:i w:val="0"/>
        </w:rPr>
        <w:t>CHÍNH PHỦ</w:t>
      </w:r>
    </w:p>
    <w:p>
      <w:pPr>
        <w:jc w:val="both"/>
      </w:pPr>
      <w:r>
        <w:rPr>
          <w:b w:val="0"/>
          <w:i/>
        </w:rPr>
        <w:t>Căn cứ Luật Tổ chức Chính phủ ngày 25 tháng 12 năm 2001;</w:t>
      </w:r>
    </w:p>
    <w:p>
      <w:pPr>
        <w:jc w:val="both"/>
      </w:pPr>
      <w:r>
        <w:rPr>
          <w:b w:val="0"/>
          <w:i/>
        </w:rPr>
        <w:t>Theo đề nghị của Bộ trưởng Bộ Văn hóa - Thông tin,</w:t>
      </w:r>
    </w:p>
    <w:p>
      <w:pPr>
        <w:jc w:val="center"/>
      </w:pPr>
      <w:r>
        <w:rPr>
          <w:b/>
          <w:i w:val="0"/>
        </w:rPr>
        <w:t>NGHỊ ĐỊNH:</w:t>
      </w:r>
    </w:p>
    <w:p>
      <w:r>
        <w:rPr>
          <w:b/>
          <w:i w:val="0"/>
        </w:rPr>
        <w:t xml:space="preserve">Điều 1. </w:t>
      </w:r>
      <w:r>
        <w:rPr>
          <w:b w:val="0"/>
          <w:i w:val="0"/>
        </w:rPr>
        <w:t>Ban hành kèm theo Nghị định này Quy chế hoạt động vă hóa và kinh doanh dịch vụ văn hóa công cộng.</w:t>
      </w:r>
    </w:p>
    <w:p>
      <w:r>
        <w:rPr>
          <w:b/>
          <w:i w:val="0"/>
        </w:rPr>
        <w:t xml:space="preserve">Điều 2. </w:t>
      </w:r>
      <w:r>
        <w:rPr>
          <w:b w:val="0"/>
          <w:i w:val="0"/>
        </w:rPr>
        <w:t>Bộ trưởng Bộ Văn hóa - Thông tin chịu trách nhiệm hướng dẫn thi hành Nghị định này.</w:t>
      </w:r>
    </w:p>
    <w:p>
      <w:r>
        <w:rPr>
          <w:b/>
          <w:i w:val="0"/>
        </w:rPr>
        <w:t xml:space="preserve">Điều 3. </w:t>
      </w:r>
      <w:r>
        <w:rPr>
          <w:b w:val="0"/>
          <w:i w:val="0"/>
        </w:rPr>
        <w:t>Nghị định này có hiệu lực thi hành sau 15 ngày, kể từ ngày đăng Công báo và thay thế Quy chế lưu hành, kinh doanh phim, băng đĩa hình, băng đĩa ca nhạc; bán, cho thuê xuất bản phẩm; hoạt động văn hóa và dịch vụ văn hóa nơi công cộng; quảng cáo, viết đặt biển hiệu ban hành kèm theo Nghị định số 87/CP ngày 12 ngày 12 năm 1995 của Chính phủ về tăng cường quản lý các hoạt động văn hóa và dịch vụ văn hóa, đẩy mạnh bài trừ một số tệ nạn xã hội nghiêm trọng.</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