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09/2001/NĐ-CP Sửa đổi Điều 21 Nghị định số 05/CP ngày 20 tháng 01 năm 1995 của Chính phủ quy định chi tiết thi hành Pháp lệnh Thuế thu nhập đối với người có thu nhập cao</w:t>
      </w:r>
    </w:p>
    <w:p>
      <w:r>
        <w:rPr>
          <w:b w:val="0"/>
          <w:i w:val="0"/>
        </w:rPr>
        <w:br/>
      </w:r>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09/2001/NĐ-CP</w:t>
        <w:br/>
        <w:t xml:space="preserve">     </w:t>
      </w:r>
      <w:r>
        <w:rPr>
          <w:b w:val="0"/>
          <w:i w:val="0"/>
        </w:rPr>
        <w:br/>
      </w:r>
      <w:r>
        <w:rPr>
          <w:b w:val="0"/>
          <w:i/>
        </w:rPr>
        <w:br/>
        <w:t xml:space="preserve">      Hà Nội, ngày 02 tháng 3 năm 2001</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09/2001/NĐ-CP</w:t>
        <w:br/>
        <w:t xml:space="preserve">     </w:t>
      </w:r>
      <w:r>
        <w:rPr>
          <w:b w:val="0"/>
          <w:i w:val="0"/>
        </w:rPr>
        <w:br/>
      </w:r>
      <w:r>
        <w:rPr>
          <w:b w:val="0"/>
          <w:i/>
        </w:rPr>
        <w:br/>
        <w:t xml:space="preserve">      Hà Nội, ngày 02 tháng 3 năm 2001</w:t>
        <w:br/>
        <w:t xml:space="preserve">     </w:t>
      </w:r>
      <w:r>
        <w:rPr>
          <w:b w:val="0"/>
          <w:i w:val="0"/>
        </w:rPr>
        <w:br/>
      </w:r>
      <w:r>
        <w:rPr>
          <w:b w:val="0"/>
          <w:i w:val="0"/>
        </w:rPr>
        <w:br/>
      </w:r>
    </w:p>
    <w:p>
      <w:r>
        <w:rPr>
          <w:b w:val="0"/>
          <w:i w:val="0"/>
        </w:rPr>
        <w:br/>
      </w:r>
      <w:r>
        <w:rPr>
          <w:b/>
          <w:i w:val="0"/>
        </w:rPr>
        <w:br/>
      </w:r>
      <w:r>
        <w:rPr>
          <w:b/>
          <w:i w:val="0"/>
        </w:rPr>
        <w:br/>
        <w:t xml:space="preserve">       CHÍNH PHỦ</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CHÍNH PHỦ</w:t>
        <w:br/>
        <w:t xml:space="preserve">      </w:t>
      </w:r>
      <w:r>
        <w:rPr>
          <w:b w:val="0"/>
          <w:i w:val="0"/>
        </w:rPr>
        <w:br/>
      </w:r>
      <w:r>
        <w:rPr>
          <w:b w:val="0"/>
          <w:i w:val="0"/>
        </w:rPr>
        <w:br/>
      </w:r>
    </w:p>
    <w:p>
      <w:r>
        <w:rPr>
          <w:b w:val="0"/>
          <w:i w:val="0"/>
        </w:rPr>
        <w:br/>
        <w:t xml:space="preserve">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09/2001/NĐ-CP</w:t>
        <w:br/>
        <w:t xml:space="preserve">     </w:t>
      </w:r>
      <w:r>
        <w:rPr>
          <w:b w:val="0"/>
          <w:i w:val="0"/>
        </w:rPr>
        <w:br/>
      </w:r>
      <w:r>
        <w:rPr>
          <w:b w:val="0"/>
          <w:i/>
        </w:rPr>
        <w:br/>
        <w:t xml:space="preserve">      Hà Nội, ngày 02 tháng 3 năm 2001</w:t>
        <w:br/>
        <w:t xml:space="preserve">     </w:t>
      </w:r>
      <w:r>
        <w:rPr>
          <w:b w:val="0"/>
          <w:i w:val="0"/>
        </w:rPr>
        <w:br/>
      </w:r>
    </w:p>
    <w:p>
      <w:pPr>
        <w:jc w:val="center"/>
      </w:pPr>
      <w:r>
        <w:rPr>
          <w:b w:val="0"/>
          <w:i w:val="0"/>
        </w:rPr>
        <w:br/>
        <w:t xml:space="preserve">      Số: 09/2001/NĐ-CP</w:t>
        <w:br/>
        <w:t xml:space="preserve">     </w:t>
      </w:r>
    </w:p>
    <w:p>
      <w:pPr>
        <w:jc w:val="center"/>
      </w:pPr>
      <w:r>
        <w:rPr>
          <w:b w:val="0"/>
          <w:i w:val="0"/>
        </w:rPr>
        <w:br/>
        <w:t xml:space="preserve">      Hà Nội, ngày 02 tháng 3 năm 2001</w:t>
        <w:br/>
        <w:t xml:space="preserve">     </w:t>
      </w:r>
    </w:p>
    <w:p>
      <w:r>
        <w:rPr>
          <w:b/>
          <w:i w:val="0"/>
        </w:rPr>
        <w:t xml:space="preserve">NGHỊ ĐỊNH </w:t>
      </w:r>
    </w:p>
    <w:p>
      <w:r>
        <w:rPr>
          <w:b/>
          <w:i w:val="0"/>
        </w:rPr>
        <w:t xml:space="preserve">Sửa đổi Điều 21 Nghị định số 05/CP ngày 20 tháng 01 năm 1995 của Chính phủ  </w:t>
      </w:r>
      <w:r>
        <w:rPr>
          <w:b/>
          <w:i w:val="0"/>
        </w:rPr>
        <w:t>quy định chi tiết thi hành Pháp lệnh Thuế thu nhập đối với người có thu nhập cao</w:t>
      </w:r>
    </w:p>
    <w:p>
      <w:r>
        <w:rPr>
          <w:b/>
          <w:i/>
        </w:rPr>
        <w:t>_____________________________</w:t>
      </w:r>
    </w:p>
    <w:p>
      <w:r>
        <w:rPr>
          <w:b w:val="0"/>
          <w:i w:val="0"/>
        </w:rPr>
        <w:t xml:space="preserve"> </w:t>
      </w:r>
      <w:r>
        <w:rPr>
          <w:b/>
          <w:i w:val="0"/>
        </w:rPr>
        <w:t>CHÍNH PHỦ</w:t>
      </w:r>
    </w:p>
    <w:p>
      <w:r>
        <w:rPr>
          <w:b w:val="0"/>
          <w:i/>
        </w:rPr>
        <w:t>Căn cứ Luật Tổ chức Chính phủ ngày 30 tháng 9 năm 1992;</w:t>
      </w:r>
    </w:p>
    <w:p>
      <w:r>
        <w:rPr>
          <w:b w:val="0"/>
          <w:i/>
        </w:rPr>
        <w:t xml:space="preserve">Căn cứ Pháp lệnh Thuế thu nhập đối với người có thu nhập cao (sửa đổi) được </w:t>
      </w:r>
      <w:r>
        <w:rPr>
          <w:b w:val="0"/>
          <w:i/>
        </w:rPr>
        <w:t>Ủ</w:t>
      </w:r>
      <w:r>
        <w:rPr>
          <w:b w:val="0"/>
          <w:i/>
        </w:rPr>
        <w:t>y ban Thường vụ Quốc hội thông qua ngày 19 tháng 5 năm 1994;</w:t>
      </w:r>
    </w:p>
    <w:p>
      <w:r>
        <w:rPr>
          <w:b w:val="0"/>
          <w:i/>
        </w:rPr>
        <w:t xml:space="preserve">Căn cứ Pháp lệnh số 14/1999/PL-UBTVQH10 ngày 30 tháng 6 năm 1999 của </w:t>
      </w:r>
      <w:r>
        <w:rPr>
          <w:b w:val="0"/>
          <w:i/>
        </w:rPr>
        <w:t>Ủ</w:t>
      </w:r>
      <w:r>
        <w:rPr>
          <w:b w:val="0"/>
          <w:i/>
        </w:rPr>
        <w:t>y ban Thường vụ Quốc hội sửa đổi một số điều của Pháp lệnh Thuế thu nhập đối với người có thu nhập cao;</w:t>
      </w:r>
    </w:p>
    <w:p>
      <w:r>
        <w:rPr>
          <w:b w:val="0"/>
          <w:i/>
        </w:rPr>
        <w:t>Theo đề nghị của Bộ trưởng Bộ Tài chính,</w:t>
      </w:r>
    </w:p>
    <w:p>
      <w:r>
        <w:rPr>
          <w:b/>
          <w:i w:val="0"/>
        </w:rPr>
        <w:t>NGHỊ ĐỊNH:</w:t>
      </w:r>
    </w:p>
    <w:p>
      <w:r>
        <w:rPr>
          <w:b/>
          <w:i w:val="0"/>
        </w:rPr>
        <w:t xml:space="preserve">Điều 1. </w:t>
      </w:r>
      <w:r>
        <w:rPr>
          <w:b w:val="0"/>
          <w:i w:val="0"/>
        </w:rPr>
        <w:t>Bãi bỏ nội dung dưới đây của Điều 21 Nghị định số 05/CP ngày 20 tháng 01 năm 1995 của Chính phủ quy định chi tiết thi hành Pháp lệnh Thuế thu nhập đối với người có thu nhập cao:</w:t>
      </w:r>
    </w:p>
    <w:p>
      <w:r>
        <w:rPr>
          <w:b w:val="0"/>
          <w:i w:val="0"/>
        </w:rPr>
        <w:t>"Các cơ quan quản lý, đào tạo, tuyển chọn người lao động được phép trích tối đa không quá 8% trên thu nhập của người lao động để phục vụ việc quản lý, đào tạo, tuyển chọn. Khoản kinh phí trên được quản lý và sử dụng theo đúng chế độ tài chính hiện hành".</w:t>
      </w:r>
    </w:p>
    <w:p>
      <w:r>
        <w:rPr>
          <w:b/>
          <w:i w:val="0"/>
        </w:rPr>
        <w:t xml:space="preserve">Điều 2. </w:t>
      </w:r>
      <w:r>
        <w:rPr>
          <w:b w:val="0"/>
          <w:i w:val="0"/>
        </w:rPr>
        <w:t>Nghị định này có hiệu lực thi hành sau 15 ngày, kể từ ngày ký.</w:t>
      </w:r>
    </w:p>
    <w:p>
      <w:r>
        <w:rPr>
          <w:b/>
          <w:i w:val="0"/>
        </w:rPr>
        <w:t xml:space="preserve">Điều 3. </w:t>
      </w:r>
      <w:r>
        <w:rPr>
          <w:b w:val="0"/>
          <w:i w:val="0"/>
        </w:rPr>
        <w:t>Bộ trưởng Bộ Tài chính hướng dẫn thi hành Nghị định này.</w:t>
      </w:r>
    </w:p>
    <w:p>
      <w:r>
        <w:rPr>
          <w:b w:val="0"/>
          <w:i w:val="0"/>
        </w:rPr>
        <w:t>Các Bộ trưởng, Thủ trưởng cơ quan ngang Bộ, Thủ trưởng cơ quan thuộc Chính phủ, Chủ tịch Ủy ban nhân dân các tỉnh, thành phố trực thuộc Trung ương chịu trách nhiệm thi hành Nghị định này./.</w:t>
      </w:r>
    </w:p>
    <w:p>
      <w:r>
        <w:rPr>
          <w:b w:val="0"/>
          <w:i w:val="0"/>
        </w:rPr>
        <w:br/>
      </w:r>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r>
        <w:rPr>
          <w:b w:val="0"/>
          <w:i w:val="0"/>
        </w:rPr>
        <w:br/>
      </w:r>
    </w:p>
    <w:p>
      <w:r>
        <w:rPr>
          <w:b w:val="0"/>
          <w:i w:val="0"/>
        </w:rPr>
        <w:br/>
      </w:r>
      <w:r>
        <w:rPr>
          <w:b/>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i w:val="0"/>
        </w:rPr>
        <w:br/>
      </w:r>
      <w:r>
        <w:rPr>
          <w:b/>
          <w:i/>
        </w:rPr>
        <w:br/>
        <w:t xml:space="preserve">      (Đã ký)</w:t>
        <w:br/>
        <w:t xml:space="preserve">     </w:t>
      </w:r>
      <w:r>
        <w:rPr>
          <w:b/>
          <w:i w:val="0"/>
        </w:rPr>
        <w:br/>
      </w:r>
      <w:r>
        <w:rPr>
          <w:b/>
          <w:i w:val="0"/>
        </w:rPr>
        <w:br/>
        <w:t xml:space="preserve">      Nguyễn Tấn Dũng</w:t>
        <w:br/>
        <w:t xml:space="preserve">     </w:t>
      </w:r>
      <w:r>
        <w:rPr>
          <w:b/>
          <w:i w:val="0"/>
        </w:rPr>
        <w:br/>
      </w:r>
      <w:r>
        <w:rPr>
          <w:b w:val="0"/>
          <w:i w:val="0"/>
        </w:rPr>
        <w:br/>
      </w:r>
    </w:p>
    <w:p>
      <w:pPr>
        <w:jc w:val="center"/>
      </w:pPr>
      <w:r>
        <w:rPr>
          <w:b w:val="0"/>
          <w:i w:val="0"/>
        </w:rPr>
        <w:br/>
      </w:r>
      <w:r>
        <w:rPr>
          <w:b/>
          <w:i w:val="0"/>
        </w:rPr>
        <w:br/>
        <w:t xml:space="preserve">      TM. CHÍNH PHỦ </w:t>
        <w:br/>
        <w:t xml:space="preserve">      </w:t>
      </w:r>
      <w:r>
        <w:br/>
      </w:r>
      <w:r>
        <w:rPr>
          <w:b/>
          <w:i w:val="0"/>
        </w:rPr>
        <w:br/>
        <w:t xml:space="preserve">       KT. THỦ TƯỚNG  </w:t>
        <w:br/>
        <w:t xml:space="preserve">      </w:t>
      </w:r>
      <w:r>
        <w:br/>
      </w:r>
      <w:r>
        <w:rPr>
          <w:b/>
          <w:i w:val="0"/>
        </w:rPr>
        <w:br/>
        <w:t xml:space="preserve">       PHÓ THỦ TƯỚNG </w:t>
        <w:br/>
        <w:t xml:space="preserve">     </w:t>
      </w:r>
      <w:r>
        <w:rPr>
          <w:b w:val="0"/>
          <w:i w:val="0"/>
        </w:rPr>
        <w:br/>
      </w:r>
      <w:r>
        <w:rPr>
          <w:b/>
          <w:i/>
        </w:rPr>
        <w:br/>
        <w:t xml:space="preserve">      (Đã ký)</w:t>
        <w:br/>
        <w:t xml:space="preserve">     </w:t>
      </w:r>
      <w:r>
        <w:rPr>
          <w:b w:val="0"/>
          <w:i w:val="0"/>
        </w:rPr>
        <w:br/>
      </w:r>
      <w:r>
        <w:rPr>
          <w:b/>
          <w:i w:val="0"/>
        </w:rPr>
        <w:br/>
        <w:t xml:space="preserve">      Nguyễn Tấn Dũng</w:t>
        <w:br/>
        <w:t xml:space="preserve">     </w:t>
      </w:r>
      <w:r>
        <w:rPr>
          <w:b w:val="0"/>
          <w:i w:val="0"/>
        </w:rPr>
        <w:br/>
      </w:r>
    </w:p>
    <w:p>
      <w:r>
        <w:rPr>
          <w:b w:val="0"/>
          <w:i w:val="0"/>
        </w:rPr>
        <w:br/>
        <w:t xml:space="preserve">      TM. CHÍNH PHỦ </w:t>
        <w:br/>
        <w:t xml:space="preserve">      </w:t>
      </w:r>
      <w:r>
        <w:br/>
      </w:r>
      <w:r>
        <w:rPr>
          <w:b w:val="0"/>
          <w:i w:val="0"/>
        </w:rPr>
        <w:br/>
        <w:t xml:space="preserve">       KT. THỦ TƯỚNG  </w:t>
        <w:br/>
        <w:t xml:space="preserve">      </w:t>
      </w:r>
      <w:r>
        <w:br/>
      </w:r>
      <w:r>
        <w:rPr>
          <w:b w:val="0"/>
          <w:i w:val="0"/>
        </w:rPr>
        <w:br/>
        <w:t xml:space="preserve">       PHÓ THỦ TƯỚNG </w:t>
        <w:br/>
        <w:t xml:space="preserve">     </w:t>
      </w:r>
    </w:p>
    <w:p>
      <w:r>
        <w:rPr>
          <w:b w:val="0"/>
          <w:i w:val="0"/>
        </w:rPr>
        <w:br/>
        <w:t xml:space="preserve">      (Đã ký)</w:t>
        <w:br/>
        <w:t xml:space="preserve">     </w:t>
      </w:r>
    </w:p>
    <w:p>
      <w:r>
        <w:rPr>
          <w:b w:val="0"/>
          <w:i w:val="0"/>
        </w:rPr>
        <w:br/>
        <w:t xml:space="preserve">      Nguyễn Tấn Dũng</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