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123/2022/NĐ-CP Biểu thuế nhập khẩu ưu đãi đặc biệt của Việt Nam để thực hiện Hiệp định Thương mại tự do ASEAN - Hồng Kông, Trung Quốc giai đoạn 2022 - 2027</w:t>
      </w:r>
    </w:p>
    <w:p>
      <w:r>
        <w:rPr>
          <w:b w:val="0"/>
          <w:i w:val="0"/>
        </w:rPr>
        <w:br/>
      </w:r>
      <w:r>
        <w:rPr>
          <w:b w:val="0"/>
          <w:i w:val="0"/>
        </w:rPr>
        <w:br/>
      </w:r>
      <w:r>
        <w:rPr>
          <w:b/>
          <w:i w:val="0"/>
        </w:rPr>
        <w:t>CHÍNH PHỦ</w:t>
      </w:r>
      <w:r>
        <w:rPr>
          <w:b w:val="0"/>
          <w:i w:val="0"/>
        </w:rPr>
        <w:br/>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p>
    <w:p>
      <w:r>
        <w:rPr>
          <w:b w:val="0"/>
          <w:i w:val="0"/>
        </w:rPr>
        <w:br/>
      </w:r>
      <w:r>
        <w:rPr>
          <w:b/>
          <w:i w:val="0"/>
        </w:rPr>
        <w:t>CHÍNH PHỦ</w:t>
      </w:r>
      <w:r>
        <w:rPr>
          <w:b w:val="0"/>
          <w:i w:val="0"/>
        </w:rPr>
        <w:br/>
      </w:r>
    </w:p>
    <w:p>
      <w:r>
        <w:rPr>
          <w:b w:val="0"/>
          <w:i w:val="0"/>
        </w:rPr>
        <w:br/>
      </w:r>
      <w:r>
        <w:rPr>
          <w:b/>
          <w:i w:val="0"/>
        </w:rPr>
        <w:t>CỘNG HÒA XÃ HỘI CHỦ NGHĨA VIỆT NAM</w:t>
      </w:r>
      <w:r>
        <w:rPr>
          <w:b w:val="0"/>
          <w:i w:val="0"/>
        </w:rPr>
        <w:br/>
      </w:r>
      <w:r>
        <w:rPr>
          <w:b/>
          <w:i w:val="0"/>
        </w:rPr>
        <w:t>Độc lập - Tự do - Hạnh phúc</w:t>
      </w:r>
      <w:r>
        <w:rPr>
          <w:b w:val="0"/>
          <w:i w:val="0"/>
        </w:rPr>
        <w:br/>
      </w:r>
    </w:p>
    <w:p>
      <w:r>
        <w:rPr>
          <w:b w:val="0"/>
          <w:i w:val="0"/>
        </w:rPr>
        <w:br/>
      </w:r>
      <w:r>
        <w:rPr>
          <w:b w:val="0"/>
          <w:i w:val="0"/>
        </w:rPr>
        <w:br/>
      </w:r>
      <w:r>
        <w:rPr>
          <w:b w:val="0"/>
          <w:i w:val="0"/>
        </w:rPr>
        <w:t>Số: 123/2022/NĐ-CP</w:t>
      </w:r>
      <w:r>
        <w:rPr>
          <w:b w:val="0"/>
          <w:i w:val="0"/>
        </w:rPr>
        <w:br/>
      </w:r>
      <w:r>
        <w:rPr>
          <w:b w:val="0"/>
          <w:i w:val="0"/>
        </w:rPr>
        <w:br/>
      </w:r>
      <w:r>
        <w:rPr>
          <w:b w:val="0"/>
          <w:i w:val="0"/>
        </w:rPr>
        <w:br/>
      </w:r>
      <w:r>
        <w:rPr>
          <w:b w:val="0"/>
          <w:i/>
        </w:rPr>
        <w:t>Hà Nội, ngày 30 tháng 12 năm 2022</w:t>
      </w:r>
      <w:r>
        <w:rPr>
          <w:b w:val="0"/>
          <w:i w:val="0"/>
        </w:rPr>
        <w:br/>
      </w:r>
      <w:r>
        <w:rPr>
          <w:b w:val="0"/>
          <w:i w:val="0"/>
        </w:rPr>
        <w:br/>
      </w:r>
    </w:p>
    <w:p>
      <w:r>
        <w:rPr>
          <w:b w:val="0"/>
          <w:i w:val="0"/>
        </w:rPr>
        <w:br/>
      </w:r>
      <w:r>
        <w:rPr>
          <w:b w:val="0"/>
          <w:i w:val="0"/>
        </w:rPr>
        <w:t>Số: 123/2022/NĐ-CP</w:t>
      </w:r>
      <w:r>
        <w:rPr>
          <w:b w:val="0"/>
          <w:i w:val="0"/>
        </w:rPr>
        <w:br/>
      </w:r>
    </w:p>
    <w:p>
      <w:r>
        <w:rPr>
          <w:b w:val="0"/>
          <w:i w:val="0"/>
        </w:rPr>
        <w:br/>
      </w:r>
      <w:r>
        <w:rPr>
          <w:b w:val="0"/>
          <w:i/>
        </w:rPr>
        <w:t>Hà Nội, ngày 30 tháng 12 năm 2022</w:t>
      </w:r>
      <w:r>
        <w:rPr>
          <w:b w:val="0"/>
          <w:i w:val="0"/>
        </w:rPr>
        <w:br/>
      </w:r>
    </w:p>
    <w:p>
      <w:pPr>
        <w:jc w:val="center"/>
      </w:pPr>
      <w:r>
        <w:rPr>
          <w:b/>
          <w:i w:val="0"/>
        </w:rPr>
        <w:t>NGHỊ ĐỊNH</w:t>
      </w:r>
    </w:p>
    <w:p>
      <w:pPr>
        <w:jc w:val="center"/>
      </w:pPr>
      <w:r>
        <w:rPr>
          <w:b/>
          <w:i w:val="0"/>
        </w:rPr>
        <w:t>Biểu thuế nhập khẩu ưu đãi đặc biệt của Việt Nam để thực hiện Hiệp định Thương mại Tự do ASEAN - Hồng Kông, Trung Quốc giai đoạn 2022 - 2027</w:t>
      </w:r>
    </w:p>
    <w:p>
      <w:r>
        <w:rPr>
          <w:b w:val="0"/>
          <w:i/>
        </w:rPr>
        <w:t>Căn cứ Luật Tổ chức Chính phủ ngày 19 tháng 6 năm 2015; Luật sửa đổi, bổ sung một số điều của Luật Tổ chức Chính phủ và Luật Tổ chức chính quyền địa phương ngày 22 tháng 11 năm 2019;</w:t>
      </w:r>
    </w:p>
    <w:p>
      <w:r>
        <w:rPr>
          <w:b w:val="0"/>
          <w:i/>
        </w:rPr>
        <w:t>Căn cứ Luật Thuế xuất khẩu, thuế nhập khẩu ngày 06 tháng 4 năm 2016;</w:t>
      </w:r>
    </w:p>
    <w:p>
      <w:r>
        <w:rPr>
          <w:b w:val="0"/>
          <w:i/>
        </w:rPr>
        <w:t>Căn cứ Luật Hải quan ngày 23 tháng 6 năm 2014;</w:t>
      </w:r>
    </w:p>
    <w:p>
      <w:r>
        <w:rPr>
          <w:b w:val="0"/>
          <w:i/>
        </w:rPr>
        <w:t>Căn cứ Luật Điều ước quốc tế ngày 09 tháng 4 năm 2016;</w:t>
      </w:r>
    </w:p>
    <w:p>
      <w:r>
        <w:rPr>
          <w:b w:val="0"/>
          <w:i/>
        </w:rPr>
        <w:t>Để thực hiện Hiệp định Thương mại Tự do ASEAN - Hồng Kông, Trung Quốc có hiệu lực kể từ ngày 11 tháng 6 năm 2019;</w:t>
      </w:r>
    </w:p>
    <w:p>
      <w:r>
        <w:rPr>
          <w:b w:val="0"/>
          <w:i/>
        </w:rPr>
        <w:t>Theo đề nghị của Bộ trưởng Bộ Tài chính;</w:t>
      </w:r>
    </w:p>
    <w:p>
      <w:r>
        <w:rPr>
          <w:b w:val="0"/>
          <w:i/>
        </w:rPr>
        <w:t>Chính phủ ban hành Nghị định Biểu thuế nhập khẩu ưu đãi đặc biệt của Việt Nam để thực hiện Hiệp định Thương mại Tự do ASEAN - Hồng Kông, Trung Quốc giai đoạn 2022 - 2027.</w:t>
      </w:r>
    </w:p>
    <w:p>
      <w:r>
        <w:rPr>
          <w:b/>
          <w:i w:val="0"/>
        </w:rPr>
        <w:t>Điều 1. Phạm vi điều chỉnh</w:t>
      </w:r>
    </w:p>
    <w:p>
      <w:r>
        <w:rPr>
          <w:b w:val="0"/>
          <w:i w:val="0"/>
        </w:rPr>
        <w:t>Nghị định này quy định thuế suất thuế nhập khẩu ưu đãi đặc biệt của Việt Nam để thực hiện Hiệp định Thương mại Tự do ASEAN - Hồng Kông, Trung Quốc giai đoạn 2022 - 2027 và điều kiện được hưởng thuế suất thuế nhập khẩu ưu đãi đặc biệt theo Hiệp định này.</w:t>
      </w:r>
    </w:p>
    <w:p>
      <w:r>
        <w:rPr>
          <w:b/>
          <w:i w:val="0"/>
        </w:rPr>
        <w:t>Điều 2. Đối tượng áp dụng</w:t>
      </w:r>
    </w:p>
    <w:p>
      <w:r>
        <w:rPr>
          <w:b w:val="0"/>
          <w:i w:val="0"/>
        </w:rPr>
        <w:t>1. Người nộp thuế theo quy định của Luật Thuế xuất khẩu, thuế nhập khẩu.</w:t>
      </w:r>
    </w:p>
    <w:p>
      <w:r>
        <w:rPr>
          <w:b w:val="0"/>
          <w:i w:val="0"/>
        </w:rPr>
        <w:t>2. Cơ quan hải quan, công chức hải quan.</w:t>
      </w:r>
    </w:p>
    <w:p>
      <w:r>
        <w:rPr>
          <w:b w:val="0"/>
          <w:i w:val="0"/>
        </w:rPr>
        <w:t>3. Tổ chức, cá nhân có quyền và nghĩa vụ liên quan đến hàng hoá xuất khẩu, nhập khẩu.</w:t>
      </w:r>
    </w:p>
    <w:p>
      <w:r>
        <w:rPr>
          <w:b/>
          <w:i w:val="0"/>
        </w:rPr>
        <w:t>Điều 3. Biểu thuế nhập khẩu ưu đãi đặc biệt</w:t>
      </w:r>
    </w:p>
    <w:p>
      <w:r>
        <w:rPr>
          <w:b w:val="0"/>
          <w:i w:val="0"/>
        </w:rPr>
        <w:t>1. Ban hành kèm theo Nghị định này Biểu thuế nhập khẩu ưu đãi đặc biệt của Việt Nam để thực hiện Hiệp định Thương mại Tự do ASEAN - Hồng Kông, Trung Quốc giai đoạn 2022 - 2027 (thuế suất thuế nhập khẩu ưu đãi đặc biệt áp dụng sau đây gọi là thuế suất AHKFTA).</w:t>
      </w:r>
    </w:p>
    <w:p>
      <w:r>
        <w:rPr>
          <w:b w:val="0"/>
          <w:i w:val="0"/>
        </w:rPr>
        <w:t>2. Cột "Mã hàng" và cột "Mô tả hàng hóa" tại Biểu thuế nhập khẩu ưu đãi đặc biệt ban hành kèm theo Nghị định này được xây dựng trên cơ sở Danh mục hàng hóa xuất khẩu, nhập khẩu Việt Nam và phân loại theo cấp mã 8 số hoặc 10 số.</w:t>
      </w:r>
    </w:p>
    <w:p>
      <w:r>
        <w:rPr>
          <w:b w:val="0"/>
          <w:i w:val="0"/>
        </w:rPr>
        <w:t>Trường hợp Danh mục hàng hóa xuất khẩu, nhập khẩu Việt Nam được sửa đổi, bổ sung, người khai hải quan kê khai mô tả, mã hàng hóa theo Danh mục hàng hóa xuất khẩu, nhập khẩu sửa đổi, bổ sung và áp dụng thuế suất của mã hàng hoá được sửa đổi, bổ sung quy định tại Biểu thuế nhập khẩu ưu đãi đặc biệt ban hành kèm theo Nghị định này.</w:t>
      </w:r>
    </w:p>
    <w:p>
      <w:r>
        <w:rPr>
          <w:b w:val="0"/>
          <w:i w:val="0"/>
        </w:rPr>
        <w:t>3. Cột "Thuế suất AHKFTA (%)": Thuế suất áp dụng cho các giai đoạn khác nhau, bao gồm:</w:t>
      </w:r>
    </w:p>
    <w:p>
      <w:r>
        <w:rPr>
          <w:b w:val="0"/>
          <w:i w:val="0"/>
        </w:rPr>
        <w:t>a) 2022: Thuế suất áp dụng từ ngày 30 tháng 12 năm 2022 đến hết ngày 31 tháng 12 năm 2022;</w:t>
      </w:r>
    </w:p>
    <w:p>
      <w:r>
        <w:rPr>
          <w:b w:val="0"/>
          <w:i w:val="0"/>
        </w:rPr>
        <w:t>b) 2023: Thuế suất áp dụng từ ngày 01 tháng 01 năm 2023 đến hết ngày 31 tháng 12 năm 2023;</w:t>
      </w:r>
    </w:p>
    <w:p>
      <w:r>
        <w:rPr>
          <w:b w:val="0"/>
          <w:i w:val="0"/>
        </w:rPr>
        <w:t>c) 2024: Thuế suất áp dụng từ ngày 01 tháng 01 năm 2024 đến hết ngày 31 tháng 12 năm 2024;</w:t>
      </w:r>
    </w:p>
    <w:p>
      <w:r>
        <w:rPr>
          <w:b w:val="0"/>
          <w:i w:val="0"/>
        </w:rPr>
        <w:t>d) 2025: Thuế suất áp dụng từ ngày 01 tháng 01 năm 2025 đến hết ngày 31 tháng 12 năm 2025;</w:t>
      </w:r>
    </w:p>
    <w:p>
      <w:r>
        <w:rPr>
          <w:b w:val="0"/>
          <w:i w:val="0"/>
        </w:rPr>
        <w:t>đ) 2026: Thuế suất áp dụng từ ngày 01 tháng 01 năm 2026 đến hết ngày 31 tháng 12 năm 2026;</w:t>
      </w:r>
    </w:p>
    <w:p>
      <w:r>
        <w:rPr>
          <w:b w:val="0"/>
          <w:i w:val="0"/>
        </w:rPr>
        <w:t>e) 2027: Thuế suất áp dụng từ ngày 01 tháng 01 năm 2027 đến hết ngày 31 tháng 12 năm 2027.</w:t>
      </w:r>
    </w:p>
    <w:p>
      <w:r>
        <w:rPr>
          <w:b w:val="0"/>
          <w:i w:val="0"/>
        </w:rPr>
        <w:t>4. Ký hiệu "*": hàng hóa nhập khẩu không được hưởng thuế suất AHKFTA tại thời điểm tương ứng.</w:t>
      </w:r>
    </w:p>
    <w:p>
      <w:r>
        <w:rPr>
          <w:b w:val="0"/>
          <w:i w:val="0"/>
        </w:rPr>
        <w:t>5. Đối với hàng hóa nhập khẩu áp dụng hạn ngạch thuế quan gồm một số mặt hàng thuộc các nhóm hàng 04.07, 17.01, 24.01, 25.01, thuế nhập khẩu ưu đãi đặc biệt trong hạn ngạch là mức thuế suất quy định tại Biểu thuế nhập khẩu ưu đãi đặc biệt ban hành kèm theo Nghị định này; danh mục và lượng hạn ngạch thuế quan nhập khẩu hàng năm theo quy định của Bộ Công Thương và mức thuế suất thuế nhập khẩu ngoài hạn ngạch áp dụng theo quy định tại Biểu thuế xuất khẩu, Biểu thuế nhập khẩu ưu đãi, Danh mục hàng hóa và mức thuế tuyệt đối, thuế hỗn hợp, thuế nhập khẩu ngoài hạn ngạch thuế quan của Chính phủ tại thời điểm nhập khẩu.</w:t>
      </w:r>
    </w:p>
    <w:p>
      <w:r>
        <w:rPr>
          <w:b/>
          <w:i w:val="0"/>
        </w:rPr>
        <w:t>Điều 4. Điều kiện áp dụng thuế suất thuế nhập khẩu ưu đãi đặc biệt</w:t>
      </w:r>
    </w:p>
    <w:p>
      <w:r>
        <w:rPr>
          <w:b w:val="0"/>
          <w:i w:val="0"/>
        </w:rPr>
        <w:t>Hàng hóa nhập khẩu được áp dụng thuế suất AHKFTA phải đáp ứng đủ các điều kiện sau:</w:t>
      </w:r>
    </w:p>
    <w:p>
      <w:r>
        <w:rPr>
          <w:b w:val="0"/>
          <w:i w:val="0"/>
        </w:rPr>
        <w:t>1. Thuộc Biểu thuế nhập khẩu ưu đãi đặc biệt ban hành kèm theo Nghị định này.</w:t>
      </w:r>
    </w:p>
    <w:p>
      <w:r>
        <w:rPr>
          <w:b w:val="0"/>
          <w:i w:val="0"/>
        </w:rPr>
        <w:t>2. Được nhập khẩu từ các nước là thành viên của Hiệp định Thương mại Tự do ASEAN - Hồng Kông, Trung Quốc, bao gồm các quốc gia và vùng lãnh thổ sau:</w:t>
      </w:r>
    </w:p>
    <w:p>
      <w:r>
        <w:rPr>
          <w:b w:val="0"/>
          <w:i w:val="0"/>
        </w:rPr>
        <w:t>a) Bru-nây Đa-rút-xa-lam;</w:t>
      </w:r>
    </w:p>
    <w:p>
      <w:r>
        <w:rPr>
          <w:b w:val="0"/>
          <w:i w:val="0"/>
        </w:rPr>
        <w:t>b) Vương quốc Cam-pu-chia;</w:t>
      </w:r>
    </w:p>
    <w:p>
      <w:r>
        <w:rPr>
          <w:b w:val="0"/>
          <w:i w:val="0"/>
        </w:rPr>
        <w:t>c) Cộng hòa In-đô-nê-xi-a;</w:t>
      </w:r>
    </w:p>
    <w:p>
      <w:r>
        <w:rPr>
          <w:b w:val="0"/>
          <w:i w:val="0"/>
        </w:rPr>
        <w:t>d) Cộng hòa Dân chủ Nhân dân Lào;</w:t>
      </w:r>
    </w:p>
    <w:p>
      <w:r>
        <w:rPr>
          <w:b w:val="0"/>
          <w:i w:val="0"/>
        </w:rPr>
        <w:t>đ) Ma-lay-xi-a;</w:t>
      </w:r>
    </w:p>
    <w:p>
      <w:r>
        <w:rPr>
          <w:b w:val="0"/>
          <w:i w:val="0"/>
        </w:rPr>
        <w:t>e) Cộng hòa Liên bang Mi-an-ma;</w:t>
      </w:r>
    </w:p>
    <w:p>
      <w:r>
        <w:rPr>
          <w:b w:val="0"/>
          <w:i w:val="0"/>
        </w:rPr>
        <w:t>g) Cộng hòa Phi-lip-pin;</w:t>
      </w:r>
    </w:p>
    <w:p>
      <w:r>
        <w:rPr>
          <w:b w:val="0"/>
          <w:i w:val="0"/>
        </w:rPr>
        <w:t>h) Cộng hòa Xinh-ga-po;</w:t>
      </w:r>
    </w:p>
    <w:p>
      <w:r>
        <w:rPr>
          <w:b w:val="0"/>
          <w:i w:val="0"/>
        </w:rPr>
        <w:t>i) Vương quốc Thái Lan;</w:t>
      </w:r>
    </w:p>
    <w:p>
      <w:r>
        <w:rPr>
          <w:b w:val="0"/>
          <w:i w:val="0"/>
        </w:rPr>
        <w:t>k) Đặc khu hành chính Hồng Kông thuộc Cộng hòa Nhân dân Trung Hoa.</w:t>
      </w:r>
    </w:p>
    <w:p>
      <w:r>
        <w:rPr>
          <w:b w:val="0"/>
          <w:i w:val="0"/>
        </w:rPr>
        <w:t>3. Đáp ứng các quy định về xuất xứ hàng hóa (bao gồm cả quy định về vận chuyển trực tiếp) và có Giấy chứng nhận xuất xứ hàng hoá (C/O) mẫu AHK hoặc có chứng từ chứng nhận xuất xứ hàng hóa theo quy định của Hiệp định Thương mại Tự do ASEAN - Hồng Kông, Trung Quốc và theo quy định hiện hành của pháp luật.</w:t>
      </w:r>
    </w:p>
    <w:p>
      <w:r>
        <w:rPr>
          <w:b/>
          <w:i w:val="0"/>
        </w:rPr>
        <w:t>Điều 5. Hàng hóa từ khu phi thuế quan của Việt Nam</w:t>
      </w:r>
    </w:p>
    <w:p>
      <w:r>
        <w:rPr>
          <w:b w:val="0"/>
          <w:i w:val="0"/>
        </w:rPr>
        <w:t>Hàng hóa từ khu phi thuế quan của Việt Nam nhập khẩu vào thị trường trong nước được áp dụng thuế suất nhập khẩu ưu đãi đặc biệt theo Hiệp định Thương mại tự do ASEAN - Hồng Kông, Trung Quốc phải đáp ứng đủ các điều kiện quy định tại khoản 1 và khoản 3 Điều 4 Nghị định này.</w:t>
      </w:r>
    </w:p>
    <w:p>
      <w:r>
        <w:rPr>
          <w:b/>
          <w:i w:val="0"/>
        </w:rPr>
        <w:t>Điều 6. Hiệu lực thi hành</w:t>
      </w:r>
    </w:p>
    <w:p>
      <w:r>
        <w:rPr>
          <w:b w:val="0"/>
          <w:i w:val="0"/>
        </w:rPr>
        <w:t>1. Nghị định này có hiệu lực từ ngày ký ban hành.</w:t>
      </w:r>
    </w:p>
    <w:p>
      <w:r>
        <w:rPr>
          <w:b w:val="0"/>
          <w:i w:val="0"/>
        </w:rPr>
        <w:t>2. Nghị định số 07/2020/NĐ-CP ngày 05 tháng 01 năm 2020 của Chính phủ ban hành Biểu thuế nhập khẩu ưu đãi đặc biệt của Việt Nam để thực hiện Hiệp định Thương mại Tự do ASEAN - Hồng Kông, Trung Quốc giai đoạn 2019 - 2022 hết hiệu lực kể từ ngày Nghị định này có hiệu lực thi hành.</w:t>
      </w:r>
    </w:p>
    <w:p>
      <w:r>
        <w:rPr>
          <w:b/>
          <w:i w:val="0"/>
        </w:rPr>
        <w:t>Điều 7. Trách nhiệm thi hành</w:t>
      </w:r>
    </w:p>
    <w:p>
      <w:r>
        <w:rPr>
          <w:b w:val="0"/>
          <w:i w:val="0"/>
        </w:rPr>
        <w:t>Các Bộ trưởng, Thủ trưởng cơ quan ngang bộ, Thủ trưởng cơ quan thuộc Chính phủ, Chủ tịch Ủy ban nhân dân tỉnh, thành phố trực thuộc trung ương và các tổ chức, cá nhân có liên quan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Ban Bí thư Trung ương Đảng;</w:t>
            </w:r>
            <w:r>
              <w:rPr>
                <w:b w:val="0"/>
                <w:i w:val="0"/>
              </w:rPr>
              <w:br/>
            </w:r>
            <w:r>
              <w:rPr>
                <w:b w:val="0"/>
                <w:i w:val="0"/>
              </w:rPr>
              <w:t>- Thủ tướng, các Phó Thủ tướng Chính phủ;</w:t>
            </w:r>
            <w:r>
              <w:rPr>
                <w:b w:val="0"/>
                <w:i w:val="0"/>
              </w:rPr>
              <w:br/>
            </w:r>
            <w:r>
              <w:rPr>
                <w:b w:val="0"/>
                <w:i w:val="0"/>
              </w:rPr>
              <w:t>- Các bộ, cơ quan ngang bộ, cơ quan thuộc Chính phủ;</w:t>
            </w:r>
            <w:r>
              <w:rPr>
                <w:b w:val="0"/>
                <w:i w:val="0"/>
              </w:rPr>
              <w:br/>
            </w:r>
            <w:r>
              <w:rPr>
                <w:b w:val="0"/>
                <w:i w:val="0"/>
              </w:rPr>
              <w:t>- HĐND, UBND các tỉnh, thành phố trực thuộc trung ương;</w:t>
            </w:r>
            <w:r>
              <w:rPr>
                <w:b w:val="0"/>
                <w:i w:val="0"/>
              </w:rPr>
              <w:br/>
            </w:r>
            <w:r>
              <w:rPr>
                <w:b w:val="0"/>
                <w:i w:val="0"/>
              </w:rPr>
              <w:t>- Văn phòng Trung ương và các Ban của Đảng;</w:t>
            </w:r>
            <w:r>
              <w:rPr>
                <w:b w:val="0"/>
                <w:i w:val="0"/>
              </w:rPr>
              <w:br/>
            </w:r>
            <w:r>
              <w:rPr>
                <w:b w:val="0"/>
                <w:i w:val="0"/>
              </w:rPr>
              <w:t>- Văn phòng Tổng Bí thư;</w:t>
            </w:r>
            <w:r>
              <w:rPr>
                <w:b w:val="0"/>
                <w:i w:val="0"/>
              </w:rPr>
              <w:br/>
            </w:r>
            <w:r>
              <w:rPr>
                <w:b w:val="0"/>
                <w:i w:val="0"/>
              </w:rPr>
              <w:t>- Văn phòng Chủ tịch nước;</w:t>
            </w:r>
            <w:r>
              <w:rPr>
                <w:b w:val="0"/>
                <w:i w:val="0"/>
              </w:rPr>
              <w:br/>
            </w:r>
            <w:r>
              <w:rPr>
                <w:b w:val="0"/>
                <w:i w:val="0"/>
              </w:rPr>
              <w:t>- Hội đồng Dân tộc và các Ủy ban của Quốc hội;</w:t>
            </w:r>
            <w:r>
              <w:rPr>
                <w:b w:val="0"/>
                <w:i w:val="0"/>
              </w:rPr>
              <w:br/>
            </w:r>
            <w:r>
              <w:rPr>
                <w:b w:val="0"/>
                <w:i w:val="0"/>
              </w:rPr>
              <w:t>- Văn phòng Quốc hội;</w:t>
            </w:r>
            <w:r>
              <w:rPr>
                <w:b w:val="0"/>
                <w:i w:val="0"/>
              </w:rPr>
              <w:br/>
            </w:r>
            <w:r>
              <w:rPr>
                <w:b w:val="0"/>
                <w:i w:val="0"/>
              </w:rPr>
              <w:t>- Tòa án nhân dân tối cao;</w:t>
            </w:r>
            <w:r>
              <w:rPr>
                <w:b w:val="0"/>
                <w:i w:val="0"/>
              </w:rPr>
              <w:br/>
            </w:r>
            <w:r>
              <w:rPr>
                <w:b w:val="0"/>
                <w:i w:val="0"/>
              </w:rPr>
              <w:t>- Viện kiểm sát nhân dân tối cao;</w:t>
            </w:r>
            <w:r>
              <w:rPr>
                <w:b w:val="0"/>
                <w:i w:val="0"/>
              </w:rPr>
              <w:br/>
            </w:r>
            <w:r>
              <w:rPr>
                <w:b w:val="0"/>
                <w:i w:val="0"/>
              </w:rPr>
              <w:t>- Kiểm toán nhà nước;</w:t>
            </w:r>
            <w:r>
              <w:rPr>
                <w:b w:val="0"/>
                <w:i w:val="0"/>
              </w:rPr>
              <w:br/>
            </w:r>
            <w:r>
              <w:rPr>
                <w:b w:val="0"/>
                <w:i w:val="0"/>
              </w:rPr>
              <w:t>- Ủy ban Giám sát tài chính Quốc gia;</w:t>
            </w:r>
            <w:r>
              <w:rPr>
                <w:b w:val="0"/>
                <w:i w:val="0"/>
              </w:rPr>
              <w:br/>
            </w:r>
            <w:r>
              <w:rPr>
                <w:b w:val="0"/>
                <w:i w:val="0"/>
              </w:rPr>
              <w:t>- Ngân hàng Chính sách xã hội;</w:t>
            </w:r>
            <w:r>
              <w:rPr>
                <w:b w:val="0"/>
                <w:i w:val="0"/>
              </w:rPr>
              <w:br/>
            </w:r>
            <w:r>
              <w:rPr>
                <w:b w:val="0"/>
                <w:i w:val="0"/>
              </w:rPr>
              <w:t>- Ngân hàng Phát triển Việt Nam;</w:t>
            </w:r>
            <w:r>
              <w:rPr>
                <w:b w:val="0"/>
                <w:i w:val="0"/>
              </w:rPr>
              <w:br/>
            </w:r>
            <w:r>
              <w:rPr>
                <w:b w:val="0"/>
                <w:i w:val="0"/>
              </w:rPr>
              <w:t>- Ủy ban trung ương Mặt trận Tổ quốc Việt Nam;</w:t>
            </w:r>
            <w:r>
              <w:rPr>
                <w:b w:val="0"/>
                <w:i w:val="0"/>
              </w:rPr>
              <w:br/>
            </w:r>
            <w:r>
              <w:rPr>
                <w:b w:val="0"/>
                <w:i w:val="0"/>
              </w:rPr>
              <w:t>- Cơ quan trung ương của các đoàn thể;</w:t>
            </w:r>
            <w:r>
              <w:rPr>
                <w:b w:val="0"/>
                <w:i w:val="0"/>
              </w:rPr>
              <w:br/>
            </w:r>
            <w:r>
              <w:rPr>
                <w:b w:val="0"/>
                <w:i w:val="0"/>
              </w:rPr>
              <w:t>- VPCP: BTCN, các PCN, Trợ lý TTg, TGĐ Công TTĐT, các Vụ, Cục, đơn vị trực thuộc, Công báo;</w:t>
            </w:r>
            <w:r>
              <w:rPr>
                <w:b w:val="0"/>
                <w:i w:val="0"/>
              </w:rPr>
              <w:t>- Lưu: VT, KTH (2).</w:t>
            </w:r>
          </w:p>
        </w:tc>
        <w:tc>
          <w:tcPr>
            <w:tcW w:type="dxa" w:w="4320"/>
          </w:tcPr>
          <w:p>
            <w:r>
              <w:rPr>
                <w:b w:val="0"/>
                <w:i w:val="0"/>
              </w:rPr>
              <w:br/>
            </w:r>
            <w:r>
              <w:rPr>
                <w:b/>
                <w:i w:val="0"/>
              </w:rPr>
              <w:t>TM. CHÍNH PHỦ</w:t>
            </w:r>
            <w:r>
              <w:rPr>
                <w:b w:val="0"/>
                <w:i w:val="0"/>
              </w:rPr>
              <w:br/>
            </w:r>
            <w:r>
              <w:rPr>
                <w:b/>
                <w:i w:val="0"/>
              </w:rPr>
              <w:t>KT. THỦ TƯỚNG</w:t>
            </w:r>
            <w:r>
              <w:rPr>
                <w:b w:val="0"/>
                <w:i w:val="0"/>
              </w:rPr>
              <w:br/>
            </w:r>
            <w:r>
              <w:rPr>
                <w:b/>
                <w:i w:val="0"/>
              </w:rPr>
              <w:t>PHÓ THỦ TƯỚNG</w:t>
            </w:r>
            <w:r>
              <w:rPr>
                <w:b w:val="0"/>
                <w:i w:val="0"/>
              </w:rPr>
              <w:br/>
            </w:r>
            <w:r>
              <w:rPr>
                <w:b/>
                <w:i/>
              </w:rPr>
              <w:t>(Đã ký)</w:t>
            </w:r>
            <w:r>
              <w:rPr>
                <w:b w:val="0"/>
                <w:i w:val="0"/>
              </w:rPr>
              <w:br/>
            </w:r>
            <w:r>
              <w:rPr>
                <w:b/>
                <w:i w:val="0"/>
              </w:rPr>
              <w:t>Lê Minh Khái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