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14/1999/PL-UBTVQH10 Sửa đổi một số điều của Pháp lệnh Thuế thu nhập đối với người có thu nhập cao</w:t>
      </w:r>
    </w:p>
    <w:p>
      <w:r>
        <w:rPr>
          <w:b/>
          <w:i w:val="0"/>
        </w:rPr>
        <w:t>PHÁP LỆNH</w:t>
      </w:r>
    </w:p>
    <w:p>
      <w:r>
        <w:rPr>
          <w:b/>
          <w:i/>
        </w:rPr>
        <w:t>Sửa đổi một số điều của Pháp lệnh Thuế thu nhập đối với người có thu nhập cao</w:t>
      </w:r>
    </w:p>
    <w:p>
      <w:r>
        <w:rPr>
          <w:b w:val="0"/>
          <w:i/>
        </w:rPr>
        <w:t>Căn cứ vào Hiến pháp nước Cộng hoà xã hội chủ nghĩa Việt Nam năm 1992;</w:t>
      </w:r>
    </w:p>
    <w:p>
      <w:r>
        <w:rPr>
          <w:b w:val="0"/>
          <w:i/>
        </w:rPr>
        <w:t>Pháp lệnh này sửa đổi một số điều của Pháp lệnh thuế thu nhập đối với người có thu nhập cao ngày 19 tháng 5 năm 1994 đã được sửa đổi theo Pháp lệnh sửa đổi một số điều của Pháp lệnh thuế thu nhập đối với người có thu nhập cao ngày 06 tháng 02 năm 1997.</w:t>
      </w:r>
    </w:p>
    <w:p>
      <w:r>
        <w:rPr>
          <w:b/>
          <w:i w:val="0"/>
        </w:rPr>
        <w:t>Điều 1</w:t>
      </w:r>
    </w:p>
    <w:p>
      <w:r>
        <w:rPr>
          <w:b w:val="0"/>
          <w:i w:val="0"/>
        </w:rPr>
        <w:t>Sửa đổi một số điều của Pháp lệnh thuế thu nhập đối với người có thu nhập cao như sau:</w:t>
      </w:r>
    </w:p>
    <w:p>
      <w:r>
        <w:rPr>
          <w:b w:val="0"/>
          <w:i w:val="0"/>
        </w:rPr>
        <w:t>1. Điều 9 được sửa đổi như sau:</w:t>
      </w:r>
    </w:p>
    <w:p>
      <w:r>
        <w:rPr>
          <w:b w:val="0"/>
          <w:i w:val="0"/>
        </w:rPr>
        <w:t>"Điều 9</w:t>
      </w:r>
    </w:p>
    <w:p>
      <w:r>
        <w:rPr>
          <w:b w:val="0"/>
          <w:i w:val="0"/>
        </w:rPr>
        <w:t>Thu nhập thường xuyên chịu thuế quy định tại khoản 1 Điều 2 của Pháp lệnh này là tổng số tiền thu được của từng cá nhân bình quân tháng trong năm trên 2.000.000 đồng (hai triệu đồng) đối với công dân Việt Nam và cá nhân khác định cư tại Việt Nam; trên 8.000.000 đồng (tám triệu đồng) đối với người nước ngoài cư trú tại Việt Nam và công dân Việt Nam lao động, công tác ở nước ngoài. Riêng người nước ngoài được coi là không cư trú tại Việt Nam, thu nhập thường xuyên chịu thuế là tổng số thu nhập do làm việc tại Việt Nam.</w:t>
      </w:r>
    </w:p>
    <w:p>
      <w:r>
        <w:rPr>
          <w:b w:val="0"/>
          <w:i w:val="0"/>
        </w:rPr>
        <w:t>Người nước ngoài được coi là cư trú tại Việt Nam nếu ở tại Việt Nam từ 183 ngày trở lên tính cho 12 tháng kể từ khi đến Việt Nam; được coi là không cư trú nếu ở tại Việt Nam dưới 183 ngày".</w:t>
      </w:r>
    </w:p>
    <w:p>
      <w:r>
        <w:rPr>
          <w:b w:val="0"/>
          <w:i w:val="0"/>
        </w:rPr>
        <w:t>2. Khoản 2 Điều 10 được sửa đổi như sau:</w:t>
      </w:r>
    </w:p>
    <w:p>
      <w:r>
        <w:rPr>
          <w:b w:val="0"/>
          <w:i w:val="0"/>
        </w:rPr>
        <w:t>"2. Đối với người nước ngoài cư trú tại Việt Nam và công dân Việt Nam lao động, công tác ở nước ngoài:</w:t>
      </w:r>
    </w:p>
    <w:p>
      <w:r>
        <w:rPr>
          <w:b/>
          <w:i w:val="0"/>
        </w:rPr>
        <w:t>BIỂU THUẾ LUỸ TIẾN TỪNG PHẦN</w:t>
      </w:r>
    </w:p>
    <w:p>
      <w:r>
        <w:rPr>
          <w:b w:val="0"/>
          <w:i/>
        </w:rPr>
        <w:t>Đơn vị tính: 1.000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Bậc</w:t>
            </w:r>
          </w:p>
        </w:tc>
        <w:tc>
          <w:tcPr>
            <w:tcW w:type="dxa" w:w="2880"/>
          </w:tcPr>
          <w:p>
            <w:r>
              <w:rPr>
                <w:b w:val="0"/>
                <w:i w:val="0"/>
              </w:rPr>
              <w:br/>
            </w:r>
            <w:r>
              <w:rPr>
                <w:b/>
                <w:i w:val="0"/>
              </w:rPr>
              <w:t>Thu nhập bình quân tháng/người</w:t>
            </w:r>
          </w:p>
        </w:tc>
        <w:tc>
          <w:tcPr>
            <w:tcW w:type="dxa" w:w="2880"/>
          </w:tcPr>
          <w:p>
            <w:r>
              <w:rPr>
                <w:b w:val="0"/>
                <w:i w:val="0"/>
              </w:rPr>
              <w:br/>
            </w:r>
            <w:r>
              <w:rPr>
                <w:b/>
                <w:i w:val="0"/>
              </w:rPr>
              <w:t>Thuế suất(%)</w:t>
            </w:r>
          </w:p>
        </w:tc>
      </w:tr>
    </w:tbl>
    <w:p>
      <w:r>
        <w:rPr>
          <w:b/>
          <w:i w:val="0"/>
        </w:rPr>
        <w:t>Điều 2</w:t>
      </w:r>
    </w:p>
    <w:p>
      <w:r>
        <w:rPr>
          <w:b w:val="0"/>
          <w:i w:val="0"/>
        </w:rPr>
        <w:t>Pháp lệnh này có hiệu lực kể từ ngày 01 tháng 7 năm 1999.</w:t>
      </w:r>
    </w:p>
    <w:p>
      <w:r>
        <w:rPr>
          <w:b w:val="0"/>
          <w:i w:val="0"/>
        </w:rPr>
        <w:t>Những quy định trước đây trái với Pháp lệnh này đều bãi bỏ.</w:t>
      </w:r>
    </w:p>
    <w:p>
      <w:r>
        <w:rPr>
          <w:b/>
          <w:i w:val="0"/>
        </w:rPr>
        <w:t>Điều 3</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