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180/CP Về việc điều chỉnh các mức thuế môn bài và thẩm quyền định mức thuế sát sinh</w:t>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180/CP</w:t>
        <w:br/>
        <w:t xml:space="preserve">    </w:t>
      </w:r>
      <w:r>
        <w:rPr>
          <w:b w:val="0"/>
          <w:i w:val="0"/>
        </w:rPr>
        <w:br/>
      </w:r>
      <w:r>
        <w:rPr>
          <w:b w:val="0"/>
          <w:i/>
        </w:rPr>
        <w:br/>
        <w:t xml:space="preserve">     Ngày 7 tháng 11 năm 1994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180/CP</w:t>
        <w:br/>
        <w:t xml:space="preserve">    </w:t>
      </w:r>
      <w:r>
        <w:rPr>
          <w:b w:val="0"/>
          <w:i w:val="0"/>
        </w:rPr>
        <w:br/>
      </w:r>
      <w:r>
        <w:rPr>
          <w:b w:val="0"/>
          <w:i/>
        </w:rPr>
        <w:br/>
        <w:t xml:space="preserve">     Ngày 7 tháng 11 năm 1994</w:t>
        <w:br/>
        <w:t xml:space="preserve">    </w:t>
      </w:r>
      <w:r>
        <w:rPr>
          <w:b w:val="0"/>
          <w:i w:val="0"/>
        </w:rPr>
        <w:br/>
      </w:r>
    </w:p>
    <w:p>
      <w:pPr>
        <w:jc w:val="center"/>
      </w:pPr>
      <w:r>
        <w:rPr>
          <w:b w:val="0"/>
          <w:i w:val="0"/>
        </w:rPr>
        <w:br/>
        <w:t xml:space="preserve">     Số: 180/CP</w:t>
        <w:br/>
        <w:t xml:space="preserve">    </w:t>
      </w:r>
    </w:p>
    <w:p>
      <w:pPr>
        <w:jc w:val="center"/>
      </w:pPr>
      <w:r>
        <w:rPr>
          <w:b w:val="0"/>
          <w:i w:val="0"/>
        </w:rPr>
        <w:br/>
        <w:t xml:space="preserve">     Ngày 7 tháng 11 năm 1994</w:t>
        <w:br/>
        <w:t xml:space="preserve">    </w:t>
      </w:r>
    </w:p>
    <w:p>
      <w:r>
        <w:rPr>
          <w:b/>
          <w:i w:val="0"/>
        </w:rPr>
        <w:t>NGHỊ ĐỊNH</w:t>
      </w:r>
    </w:p>
    <w:p>
      <w:r>
        <w:rPr>
          <w:b/>
          <w:i w:val="0"/>
        </w:rPr>
        <w:t>Về việc điều chỉnh các mức thuế môn bài và thẩm quyền định mức thuế sát sinh</w:t>
      </w:r>
    </w:p>
    <w:p>
      <w:r>
        <w:rPr>
          <w:b w:val="0"/>
          <w:i w:val="0"/>
        </w:rPr>
        <w:t>_____________________________</w:t>
      </w:r>
    </w:p>
    <w:p>
      <w:r>
        <w:rPr>
          <w:b w:val="0"/>
          <w:i w:val="0"/>
        </w:rPr>
        <w:t xml:space="preserve"> </w:t>
      </w:r>
      <w:r>
        <w:rPr>
          <w:b/>
          <w:i w:val="0"/>
        </w:rPr>
        <w:t>CHÍNH PHỦ</w:t>
      </w:r>
    </w:p>
    <w:p>
      <w:r>
        <w:rPr>
          <w:b w:val="0"/>
          <w:i/>
        </w:rPr>
        <w:t>Căn cứ Luật Tổ chức Chính phủ ngày 30 tháng 9 năm 1992;</w:t>
      </w:r>
    </w:p>
    <w:p>
      <w:r>
        <w:rPr>
          <w:b w:val="0"/>
          <w:i/>
        </w:rPr>
        <w:t>Căn cứ Điều lệ thuế Công thương nghiệp ban hành kèm theo Quyết định số 200/NQ- TVQH ngày 18 tháng 1 năm 1966 của ủy ban Thường vụ Quốc hội; Pháp lệnh ngày 3 tháng 3 năm 1989 của Hội đồng Nhà nước sửa đổi, bổ sung một số điều trong các Pháp lệnh,</w:t>
      </w:r>
    </w:p>
    <w:p>
      <w:r>
        <w:rPr>
          <w:b w:val="0"/>
          <w:i/>
        </w:rPr>
        <w:t>Điều lệ về thuế công thương nghiệp và thuế hàng hóa, Nghị quyết số 473/NQ-HĐNN8Đ ngày 10 tháng 9 năm 1991 của Hội đồng Nhà nước về thuế môn bài và thuế sát sinh;</w:t>
      </w:r>
    </w:p>
    <w:p>
      <w:r>
        <w:rPr>
          <w:b w:val="0"/>
          <w:i/>
        </w:rPr>
        <w:t>Căn cứ vào mức trượt giá từ năm 1992 đến nay; Theo đề nghị của Bộ trưởng Bộ tài chính,</w:t>
      </w:r>
    </w:p>
    <w:p>
      <w:r>
        <w:rPr>
          <w:b/>
          <w:i w:val="0"/>
        </w:rPr>
        <w:t>NGHỊ ĐỊNH</w:t>
      </w:r>
    </w:p>
    <w:p>
      <w:r>
        <w:rPr>
          <w:b/>
          <w:i w:val="0"/>
        </w:rPr>
        <w:t>Điều 1</w:t>
      </w:r>
    </w:p>
    <w:p>
      <w:r>
        <w:rPr>
          <w:b w:val="0"/>
          <w:i w:val="0"/>
        </w:rPr>
        <w:t xml:space="preserve"> - Từ năm 1995 các tổ chức và cá nhân kinh doanh nộp thuế môn bài theo các mức sau:</w:t>
      </w:r>
    </w:p>
    <w:p>
      <w:r>
        <w:rPr>
          <w:b w:val="0"/>
          <w:i w:val="0"/>
        </w:rPr>
        <w:t>650. 000 đồng, 250.000 đồng, 125.000 đồng, 45.000 đồng cà 20.000 đồng.</w:t>
      </w:r>
    </w:p>
    <w:p>
      <w:r>
        <w:rPr>
          <w:b w:val="0"/>
          <w:i w:val="0"/>
        </w:rPr>
        <w:t xml:space="preserve"> Bộ tài chính hướng dẫn cụ thể căn cứ tính thuế môn bài theo các mức trên.</w:t>
      </w:r>
    </w:p>
    <w:p>
      <w:r>
        <w:rPr>
          <w:b/>
          <w:i w:val="0"/>
        </w:rPr>
        <w:t xml:space="preserve">Điều 2 </w:t>
      </w:r>
    </w:p>
    <w:p>
      <w:r>
        <w:rPr>
          <w:b w:val="0"/>
          <w:i w:val="0"/>
        </w:rPr>
        <w:t>- Thuế sát sinh thu với thuế suất là 5% giá trị con vật (trâu, bò, lợn đem giết thịt).</w:t>
      </w:r>
    </w:p>
    <w:p>
      <w:r>
        <w:rPr>
          <w:b w:val="0"/>
          <w:i w:val="0"/>
        </w:rPr>
        <w:t>Căn cứ điều kiện nuôi, trọng lượng bình quân từng loại gia súc giết thịt và giá cả ở từng địa phương, ủy ban Nhân dân tỉnh, thành phố trực thuộc trung ương quy định mức thuế sát sinh cho đầu con trong từng thời gian.</w:t>
      </w:r>
    </w:p>
    <w:p>
      <w:r>
        <w:rPr>
          <w:b/>
          <w:i w:val="0"/>
        </w:rPr>
        <w:t>Điều 3</w:t>
      </w:r>
    </w:p>
    <w:p>
      <w:r>
        <w:rPr>
          <w:b w:val="0"/>
          <w:i w:val="0"/>
        </w:rPr>
        <w:t>- Nghị định này có hiệu lực thi hành từ ngày 1 tháng 1 năm 1995, thay thế Nghị định số 326/HĐBT ngày 19 tháng 10 năm 1991 của Hội đồng Bộ trưởng và Quyết định số 326/HĐBT ngày 14 tháng 9 năm 1992 của Hội đồng Bộ trưởng (nay là Chính phủ)</w:t>
      </w:r>
    </w:p>
    <w:p>
      <w:r>
        <w:rPr>
          <w:b w:val="0"/>
          <w:i w:val="0"/>
        </w:rPr>
        <w:t>Bộ trưởng Bộ tài chính hướng dẫn thi hành Nghị định này.</w:t>
      </w:r>
    </w:p>
    <w:p>
      <w:r>
        <w:rPr>
          <w:b/>
          <w:i w:val="0"/>
        </w:rPr>
        <w:t xml:space="preserve">Điều 4 </w:t>
      </w:r>
    </w:p>
    <w:p>
      <w:r>
        <w:rPr>
          <w:b w:val="0"/>
          <w:i w:val="0"/>
        </w:rPr>
        <w:t>-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i w:val="0"/>
        </w:rPr>
        <w:br/>
      </w:r>
      <w:r>
        <w:rPr>
          <w:b/>
          <w:i w:val="0"/>
        </w:rPr>
        <w:br/>
        <w:t xml:space="preserve">     TM.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