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213/2004/NĐ-CP Về việc bổ sung 19 mặt hàng vào Danh mục hàng hoá và thuế suất thuế nhập khẩu của Việt Nam để thực hiện Hiệp định Ưu đãi thuế quan có hiệu lực chung (CEPT)của các nước ASEAN cho các năm 2004 - 2006</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213/2004/NĐ-CP</w:t>
        <w:br/>
        <w:t xml:space="preserve">     </w:t>
      </w:r>
      <w:r>
        <w:rPr>
          <w:b w:val="0"/>
          <w:i w:val="0"/>
        </w:rPr>
        <w:br/>
      </w:r>
      <w:r>
        <w:rPr>
          <w:b w:val="0"/>
          <w:i/>
        </w:rPr>
        <w:br/>
        <w:t xml:space="preserve">      Hà Nội, ngày 24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213/2004/NĐ-CP</w:t>
        <w:br/>
        <w:t xml:space="preserve">     </w:t>
      </w:r>
      <w:r>
        <w:rPr>
          <w:b w:val="0"/>
          <w:i w:val="0"/>
        </w:rPr>
        <w:br/>
      </w:r>
      <w:r>
        <w:rPr>
          <w:b w:val="0"/>
          <w:i/>
        </w:rPr>
        <w:br/>
        <w:t xml:space="preserve">      Hà Nội, ngày 24 tháng 12 năm 2004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213/2004/NĐ-CP</w:t>
        <w:br/>
        <w:t xml:space="preserve">     </w:t>
      </w:r>
      <w:r>
        <w:rPr>
          <w:b w:val="0"/>
          <w:i w:val="0"/>
        </w:rPr>
        <w:br/>
      </w:r>
      <w:r>
        <w:rPr>
          <w:b w:val="0"/>
          <w:i/>
        </w:rPr>
        <w:br/>
        <w:t xml:space="preserve">      Hà Nội, ngày 24 tháng 12 năm 2004</w:t>
        <w:br/>
        <w:t xml:space="preserve">     </w:t>
      </w:r>
      <w:r>
        <w:rPr>
          <w:b w:val="0"/>
          <w:i w:val="0"/>
        </w:rPr>
        <w:br/>
      </w:r>
    </w:p>
    <w:p>
      <w:pPr>
        <w:jc w:val="center"/>
      </w:pPr>
      <w:r>
        <w:rPr>
          <w:b w:val="0"/>
          <w:i w:val="0"/>
        </w:rPr>
        <w:br/>
        <w:t xml:space="preserve">      Số: 213/2004/NĐ-CP</w:t>
        <w:br/>
        <w:t xml:space="preserve">     </w:t>
      </w:r>
    </w:p>
    <w:p>
      <w:pPr>
        <w:jc w:val="center"/>
      </w:pPr>
      <w:r>
        <w:rPr>
          <w:b w:val="0"/>
          <w:i w:val="0"/>
        </w:rPr>
        <w:br/>
        <w:t xml:space="preserve">      Hà Nội, ngày 24 tháng 12 năm 2004</w:t>
        <w:br/>
        <w:t xml:space="preserve">     </w:t>
      </w:r>
    </w:p>
    <w:p>
      <w:pPr>
        <w:jc w:val="center"/>
      </w:pPr>
      <w:r>
        <w:rPr>
          <w:b/>
          <w:i w:val="0"/>
        </w:rPr>
        <w:t xml:space="preserve">NGHỊ ĐỊNH </w:t>
      </w:r>
    </w:p>
    <w:p>
      <w:r>
        <w:rPr>
          <w:b/>
          <w:i w:val="0"/>
        </w:rPr>
        <w:t>Về việc bổ sung 19 mặt hàng vào Danh mục hàng hoá</w:t>
      </w:r>
      <w:r>
        <w:rPr>
          <w:b w:val="0"/>
          <w:i w:val="0"/>
        </w:rPr>
        <w:t xml:space="preserve"> </w:t>
      </w:r>
      <w:r>
        <w:rPr>
          <w:b/>
          <w:i w:val="0"/>
        </w:rPr>
        <w:t xml:space="preserve">và thuế suất thuế </w:t>
      </w:r>
    </w:p>
    <w:p>
      <w:r>
        <w:rPr>
          <w:b/>
          <w:i w:val="0"/>
        </w:rPr>
        <w:t>nhập khẩu của Việt Nam</w:t>
      </w:r>
      <w:r>
        <w:rPr>
          <w:b w:val="0"/>
          <w:i w:val="0"/>
        </w:rPr>
        <w:t xml:space="preserve"> </w:t>
      </w:r>
      <w:r>
        <w:rPr>
          <w:b/>
          <w:i w:val="0"/>
        </w:rPr>
        <w:t xml:space="preserve">để thực hiện Hiệp định Ưu đãi thuế quan </w:t>
      </w:r>
    </w:p>
    <w:p>
      <w:r>
        <w:rPr>
          <w:b/>
          <w:i w:val="0"/>
        </w:rPr>
        <w:t>có hiệu lực chung (CEPT)của các nước ASEAN cho các năm 2004 - 2006</w:t>
      </w:r>
    </w:p>
    <w:p>
      <w:pPr>
        <w:jc w:val="center"/>
      </w:pPr>
      <w:r>
        <w:rPr>
          <w:b/>
          <w:i/>
        </w:rPr>
        <w:t xml:space="preserve"> </w:t>
      </w:r>
      <w:r>
        <w:rPr>
          <w:b w:val="0"/>
          <w:i w:val="0"/>
        </w:rPr>
        <w:t>______________________</w:t>
      </w:r>
    </w:p>
    <w:p>
      <w:pPr>
        <w:jc w:val="center"/>
      </w:pPr>
      <w:r>
        <w:rPr>
          <w:b/>
          <w:i w:val="0"/>
        </w:rPr>
        <w:t>CHÍNH PHỦ</w:t>
      </w:r>
    </w:p>
    <w:p>
      <w:pPr>
        <w:jc w:val="both"/>
      </w:pPr>
      <w:r>
        <w:rPr>
          <w:b w:val="0"/>
          <w:i/>
        </w:rPr>
        <w:t>Căn cứ Luật Tổ chức Chính phủ ngày 25 tháng 12 năm 2001;</w:t>
      </w:r>
    </w:p>
    <w:p>
      <w:pPr>
        <w:jc w:val="both"/>
      </w:pPr>
      <w:r>
        <w:rPr>
          <w:b w:val="0"/>
          <w:i/>
        </w:rPr>
        <w:t>Căn cứ Luật Thuế xuất khẩu, thuế nhập khẩu ngày 26 tháng 12 năm 1991;</w:t>
      </w:r>
      <w:r>
        <w:rPr>
          <w:b w:val="0"/>
          <w:i/>
        </w:rPr>
        <w:t xml:space="preserve"> Luật sửa đổi, bổ sung một số điều của Luật Thuế xuất khẩu, thuế nhập khẩu ngày 05 tháng 7 năm 1993 và Luật sửa đổi, bổ sung một số điều của Luật Thuế xuất khẩu, thuế nhập khẩu ngày 20 tháng 5 năm 1998;</w:t>
      </w:r>
    </w:p>
    <w:p>
      <w:pPr>
        <w:jc w:val="both"/>
      </w:pPr>
      <w:r>
        <w:rPr>
          <w:b w:val="0"/>
          <w:i/>
        </w:rPr>
        <w:t>Căn cứ Nghị quyết số 292/NQ-UBTVQH9 ngày 08 tháng 11 năm 1995 của Ủy ban Thường vụ Quốc hội về Chương trình giảm thuế nhập khẩu của Việt Nam để thực hiện Hiệp định Ưu đãi thuế quan có hiệu lực chung (CEPT) của các nước ASEAN;</w:t>
      </w:r>
    </w:p>
    <w:p>
      <w:pPr>
        <w:jc w:val="both"/>
      </w:pPr>
      <w:r>
        <w:rPr>
          <w:b w:val="0"/>
          <w:i/>
        </w:rPr>
        <w:t xml:space="preserve">Theo đề nghị của Bộ trưởng Bộ Tài chính, </w:t>
      </w:r>
    </w:p>
    <w:p>
      <w:pPr>
        <w:jc w:val="center"/>
      </w:pPr>
      <w:r>
        <w:rPr>
          <w:b/>
          <w:i w:val="0"/>
        </w:rPr>
        <w:t>NGHỊ ĐỊNH:</w:t>
      </w:r>
    </w:p>
    <w:p>
      <w:r>
        <w:rPr>
          <w:b/>
          <w:i w:val="0"/>
        </w:rPr>
        <w:t xml:space="preserve">Điều 1. </w:t>
      </w:r>
      <w:r>
        <w:rPr>
          <w:b w:val="0"/>
          <w:i w:val="0"/>
        </w:rPr>
        <w:t>Ban hành kèm theo Nghị định này 19 mặt hàng bổ sung vào Danh mục hàng hoá và thuế suất thuế nhập khẩu của Việt Nam đã ban hành kèm theo Nghị định số 78/2003/NĐ-CP ngày 01 tháng 7 năm 2003 và Nghị định số 151/2004/NĐ-CP ngày 05 tháng 8 năm 2004 của Chính phủ để thực hiện Hiệp định Ưu đãi thuế quan có hiệu lực chung (CEPT) của các nước ASEAN cho các năm 2004 - 2006 (Danh mục kèm theo).</w:t>
      </w:r>
    </w:p>
    <w:p>
      <w:r>
        <w:rPr>
          <w:b/>
          <w:i w:val="0"/>
        </w:rPr>
        <w:t xml:space="preserve">Điều 2. </w:t>
      </w:r>
      <w:r>
        <w:rPr>
          <w:b w:val="0"/>
          <w:i w:val="0"/>
        </w:rPr>
        <w:t>Nghị định này có hiệu lực sau 15 ngày, kể từ ngày đăng Công báo và áp dụng cho các Tờ khai hàng hoá nhập khẩu đã đăng ký với cơ quan Hải quan từ ngày 01 tháng 01 năm 2004.</w:t>
      </w:r>
    </w:p>
    <w:p>
      <w:r>
        <w:rPr>
          <w:b/>
          <w:i w:val="0"/>
        </w:rPr>
        <w:t xml:space="preserve">Điều 3. </w:t>
      </w:r>
      <w:r>
        <w:rPr>
          <w:b w:val="0"/>
          <w:i w:val="0"/>
        </w:rPr>
        <w:t>Bộ Tài chính chịu trách nhiệm hướng dẫn thi hành Nghị định này.</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p>
        </w:tc>
      </w:tr>
    </w:tbl>
    <w:p>
      <w:pPr>
        <w:jc w:val="center"/>
      </w:pPr>
      <w:r>
        <w:rPr>
          <w:b/>
          <w:i w:val="0"/>
        </w:rPr>
        <w:t>DANH MỤC</w:t>
      </w:r>
    </w:p>
    <w:p>
      <w:pPr>
        <w:jc w:val="center"/>
      </w:pPr>
      <w:r>
        <w:rPr>
          <w:b/>
          <w:i w:val="0"/>
        </w:rPr>
        <w:t>19 MẶT HÀNG BỔ SUNG VÀO DANH MỤC HÀNG HOÁ</w:t>
      </w:r>
    </w:p>
    <w:p>
      <w:pPr>
        <w:jc w:val="center"/>
      </w:pPr>
      <w:r>
        <w:rPr>
          <w:b/>
          <w:i w:val="0"/>
        </w:rPr>
        <w:t>VÀ THUẾ SUẤT THUẾ NHẬP KHẨU CỦA VIỆT NAM</w:t>
      </w:r>
    </w:p>
    <w:p>
      <w:pPr>
        <w:jc w:val="center"/>
      </w:pPr>
      <w:r>
        <w:rPr>
          <w:b/>
          <w:i w:val="0"/>
        </w:rPr>
        <w:t>ĐỂ THỰC HIỆN HIỆP ĐỊNH ƯU ĐÃI THUẾ QUAN</w:t>
      </w:r>
    </w:p>
    <w:p>
      <w:pPr>
        <w:jc w:val="center"/>
      </w:pPr>
      <w:r>
        <w:rPr>
          <w:b/>
          <w:i w:val="0"/>
        </w:rPr>
        <w:t>CÓ HIỆU LỰC CHUNG (CEPT) CỦA CÁC NƯỚC ASEAN</w:t>
      </w:r>
    </w:p>
    <w:p>
      <w:pPr>
        <w:jc w:val="center"/>
      </w:pPr>
      <w:r>
        <w:rPr>
          <w:b/>
          <w:i w:val="0"/>
        </w:rPr>
        <w:t>CHO CÁC NĂM 2004 – 2006</w:t>
      </w:r>
    </w:p>
    <w:p>
      <w:pPr>
        <w:jc w:val="center"/>
      </w:pPr>
      <w:r>
        <w:rPr>
          <w:b w:val="0"/>
          <w:i/>
        </w:rPr>
        <w:t xml:space="preserve">(Ban hành kèm theo Nghị định số </w:t>
      </w:r>
      <w:r>
        <w:rPr>
          <w:b w:val="0"/>
          <w:i/>
        </w:rPr>
        <w:t>213</w:t>
      </w:r>
      <w:r>
        <w:rPr>
          <w:b w:val="0"/>
          <w:i/>
        </w:rPr>
        <w:t>/2004/NĐ-CP</w:t>
      </w:r>
    </w:p>
    <w:p>
      <w:pPr>
        <w:jc w:val="center"/>
      </w:pPr>
      <w:r>
        <w:rPr>
          <w:b w:val="0"/>
          <w:i/>
        </w:rPr>
        <w:t>ngày 24 tháng 12 năm 2004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hàng</w:t>
            </w:r>
          </w:p>
        </w:tc>
        <w:tc>
          <w:tcPr>
            <w:tcW w:type="dxa" w:w="2880"/>
          </w:tcPr>
          <w:p>
            <w:r>
              <w:rPr>
                <w:b w:val="0"/>
                <w:i w:val="0"/>
              </w:rPr>
              <w:br/>
            </w:r>
            <w:r>
              <w:rPr>
                <w:b/>
                <w:i w:val="0"/>
              </w:rPr>
              <w:t>Mô tả hàng hoá</w:t>
            </w:r>
          </w:p>
        </w:tc>
        <w:tc>
          <w:tcPr>
            <w:tcW w:type="dxa" w:w="2880"/>
          </w:tcPr>
          <w:p>
            <w:r>
              <w:rPr>
                <w:b w:val="0"/>
                <w:i w:val="0"/>
              </w:rPr>
              <w:br/>
            </w:r>
            <w:r>
              <w:rPr>
                <w:b/>
                <w:i w:val="0"/>
              </w:rPr>
              <w:t>Thuế suất CEPT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