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41/2024/TT-BTC Sửa đổi, bổ sung một số điều của Thông tư số 44/2017/TT-BTC ngày 12 tháng 05 năm 2017 của Bộ trưởng Bộ Tài chính quy định khung giá tính thuế tài nguyên đối với nhóm, loại tài nguyên có tính chất lý, hóa giống nhau và Thông tư số 152/2015/TT-BTC ngày 02 tháng 10 năm 2015 của Bộ trưởng Bộ Tài chính hướng dẫn về thuế tài nguyên</w:t>
      </w:r>
    </w:p>
    <w:p>
      <w:r>
        <w:rPr>
          <w:b w:val="0"/>
          <w:i w:val="0"/>
        </w:rPr>
        <w:br/>
      </w:r>
      <w:r>
        <w:rPr>
          <w:b w:val="0"/>
          <w:i w:val="0"/>
        </w:rPr>
        <w:br/>
      </w:r>
      <w:r>
        <w:rPr>
          <w:b w:val="0"/>
          <w:i w:val="0"/>
        </w:rPr>
        <w:br/>
      </w:r>
      <w:r>
        <w:rPr>
          <w:b w:val="0"/>
          <w:i w:val="0"/>
        </w:rPr>
        <w:br/>
      </w:r>
      <w:r>
        <w:rPr>
          <w:b w:val="0"/>
          <w:i w:val="0"/>
        </w:rPr>
        <w:br/>
      </w:r>
      <w:r>
        <w:rPr>
          <w:b w:val="0"/>
          <w:i w:val="0"/>
        </w:rPr>
        <w:br/>
      </w:r>
      <w:r>
        <w:rPr>
          <w:b/>
          <w:i w:val="0"/>
        </w:rPr>
        <w:t xml:space="preserve">BỘ TÀI CHÍNH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41/2024/TT-BTC</w:t>
      </w:r>
      <w:r>
        <w:rPr>
          <w:b w:val="0"/>
          <w:i w:val="0"/>
        </w:rPr>
        <w:br/>
      </w:r>
      <w:r>
        <w:rPr>
          <w:b w:val="0"/>
          <w:i w:val="0"/>
        </w:rPr>
        <w:br/>
      </w:r>
      <w:r>
        <w:rPr>
          <w:b w:val="0"/>
          <w:i/>
        </w:rPr>
        <w:t xml:space="preserve">Hà Nội, ngày 20 tháng 5 năm 2024 </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 xml:space="preserve">BỘ TÀI CHÍNH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41/2024/TT-BTC</w:t>
      </w:r>
      <w:r>
        <w:rPr>
          <w:b w:val="0"/>
          <w:i w:val="0"/>
        </w:rPr>
        <w:br/>
      </w:r>
      <w:r>
        <w:rPr>
          <w:b w:val="0"/>
          <w:i w:val="0"/>
        </w:rPr>
        <w:br/>
      </w:r>
      <w:r>
        <w:rPr>
          <w:b w:val="0"/>
          <w:i/>
        </w:rPr>
        <w:t xml:space="preserve">Hà Nội, ngày 20 tháng 5 năm 2024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r>
        <w:br/>
      </w:r>
      <w:r>
        <w:rPr>
          <w:b/>
          <w:i w:val="0"/>
        </w:rPr>
        <w:t>Sửa đổi, bổ sung một số điều của Thông tư số 44/2017/TT-BTC ngày 12</w:t>
      </w:r>
      <w:r>
        <w:br/>
      </w:r>
      <w:r>
        <w:rPr>
          <w:b/>
          <w:i w:val="0"/>
        </w:rPr>
        <w:t xml:space="preserve"> tháng 05 năm 2017 của Bộ trưởng Bộ Tài chính quy định khung giá tính</w:t>
      </w:r>
      <w:r>
        <w:br/>
      </w:r>
      <w:r>
        <w:rPr>
          <w:b/>
          <w:i w:val="0"/>
        </w:rPr>
        <w:t xml:space="preserve"> thuế tài nguyên đối với nhóm, loại tài nguyên có tính chất lý, hóa giống nhau </w:t>
      </w:r>
      <w:r>
        <w:br/>
      </w:r>
      <w:r>
        <w:rPr>
          <w:b/>
          <w:i w:val="0"/>
        </w:rPr>
        <w:t xml:space="preserve">và Thông tư số 152/2015/TT-BTC ngày 02 tháng 10 năm 2015 của Bộ </w:t>
      </w:r>
      <w:r>
        <w:br/>
      </w:r>
      <w:r>
        <w:rPr>
          <w:b/>
          <w:i w:val="0"/>
        </w:rPr>
        <w:t>trưởng Bộ Tài chính hướng dẫn về thuế tài nguyên</w:t>
      </w:r>
    </w:p>
    <w:p>
      <w:pPr>
        <w:jc w:val="center"/>
      </w:pPr>
      <w:r>
        <w:rPr>
          <w:b/>
          <w:i w:val="0"/>
        </w:rPr>
        <w:t>_____________</w:t>
      </w:r>
    </w:p>
    <w:p>
      <w:r>
        <w:rPr>
          <w:b w:val="0"/>
          <w:i/>
        </w:rPr>
        <w:t>Căn cứ Luật Thuế tài nguyên ngày 25 tháng 11 năm 2009;</w:t>
      </w:r>
    </w:p>
    <w:p>
      <w:r>
        <w:rPr>
          <w:b w:val="0"/>
          <w:i/>
        </w:rPr>
        <w:t>Căn cứ Nghị định số 50/2010/NĐ-CP ngày 14 tháng 5 năm 2010 của Chính phủ quy định chi tiết và hướng dẫn thi hành một số điều của Luật Thuế tài nguyên;</w:t>
      </w:r>
    </w:p>
    <w:p>
      <w:r>
        <w:rPr>
          <w:b w:val="0"/>
          <w:i/>
        </w:rPr>
        <w:t>Căn cứ Nghị định số 12/2015/NĐ-CP ngày 12 tháng 02 năm 2015 của Chính phủ hướng dẫn thi hành Luật sửa đổi, bổ sung một số điều của các Luật Thuế và sửa đổi, bổ sung một số điều của các Nghị định về thuế;</w:t>
      </w:r>
    </w:p>
    <w:p>
      <w:r>
        <w:rPr>
          <w:b w:val="0"/>
          <w:i/>
        </w:rPr>
        <w:t>Căn cứ Nghị định số 14/2023/NĐ-CP ngày 20 tháng 4 năm 2023 của Chính phủ quy định chức năng, nhiệm vụ, quyền hạn và cơ cấu tổ chức của Bộ Tài chính;</w:t>
      </w:r>
    </w:p>
    <w:p>
      <w:r>
        <w:rPr>
          <w:b w:val="0"/>
          <w:i/>
        </w:rPr>
        <w:t>Theo đề nghị của Tổng cục trưởng Tổng cục Thuế,</w:t>
      </w:r>
    </w:p>
    <w:p>
      <w:r>
        <w:rPr>
          <w:b w:val="0"/>
          <w:i/>
        </w:rPr>
        <w:t>Bộ trưởng Bộ Tài chính ban hành Thông tư sửa đổi, bổ sung một số điều của Thông tư số 44/2017/TT-BTC ngày 12 tháng 05 năm 2017 của Bộ trưởng Bộ Tài chính quy định khung giá tính thuế tài nguyên đối với nhóm, loại tài nguyên có tính chất lý, hóa giống nhau và Thông tư số 152/2015/TT-BTC ngày 02 tháng 10 năm 2015 của Bộ trưởng Bộ Tài chính hướng dẫn về thuế tài nguyên.</w:t>
      </w:r>
    </w:p>
    <w:p>
      <w:r>
        <w:rPr>
          <w:b/>
          <w:i w:val="0"/>
        </w:rPr>
        <w:t>Điều 1. Sửa đổi, bổ sung Điều 6 Thông tư số 44/2017/TT-BTC ngày 12 tháng 05 năm 2017 của Bộ trưởng Bộ Tài chính quy định về khung giá tính thuế tài nguyên đối với nhóm, loại tài nguyên có tính chất lý, hóa giống nhau</w:t>
      </w:r>
    </w:p>
    <w:p>
      <w:r>
        <w:rPr>
          <w:b w:val="0"/>
          <w:i w:val="0"/>
        </w:rPr>
        <w:t>"Điều 6. Điều chỉnh, bổ sung khung giá tính thuế tài nguyên</w:t>
      </w:r>
    </w:p>
    <w:p>
      <w:r>
        <w:rPr>
          <w:b w:val="0"/>
          <w:i w:val="0"/>
        </w:rPr>
        <w:t>1. Các trường hợp điều chỉnh, bổ sung khung giá tính thuế tài nguyên:</w:t>
      </w:r>
    </w:p>
    <w:p>
      <w:r>
        <w:rPr>
          <w:b w:val="0"/>
          <w:i w:val="0"/>
        </w:rPr>
        <w:t>a) Giá tài nguyên phổ biến trên thị trường biến động giảm trên 20% so với mức giá tối thiểu của Khung giá tính thuế tài nguyên;</w:t>
      </w:r>
    </w:p>
    <w:p>
      <w:r>
        <w:rPr>
          <w:b w:val="0"/>
          <w:i w:val="0"/>
        </w:rPr>
        <w:t>b) Giá tài nguyên phổ biến trên thị trường biến động tăng trên 20% so với mức giá tối đa của Khung giá tính thuế tài nguyên;</w:t>
      </w:r>
    </w:p>
    <w:p>
      <w:r>
        <w:rPr>
          <w:b w:val="0"/>
          <w:i w:val="0"/>
        </w:rPr>
        <w:t>c) Phát sinh loại tài nguyên mới chưa được quy định trong Khung giá tính thuế tài nguyên.</w:t>
      </w:r>
    </w:p>
    <w:p>
      <w:r>
        <w:rPr>
          <w:b w:val="0"/>
          <w:i w:val="0"/>
        </w:rPr>
        <w:t>2. Trường hợp giá tài nguyên phổ biến trên thị trường biến động giảm trên 20% so với mức giá tối thiểu của Khung giá tính thuế tài nguyên, Ủy ban nhân dân cấp tỉnh có trách nhiệm gửi văn bản về Bộ Tài chính để cung cấp thông tin kèm theo đề xuất, hồ sơ và phương án thuyết minh cụ thể làm cơ sở xem xét việc điều chỉnh Khung giá tính thuế tài nguyên. Ủy ban nhân dân cấp tỉnh chỉ ban hành Bảng giá tính thuế tài nguyên hoặc văn bản quy định điều chỉnh Bảng giá tính thuế tài nguyên sau khi Bộ Tài chính điều chỉnh Khung giá tính thuế tài nguyên.</w:t>
      </w:r>
    </w:p>
    <w:p>
      <w:r>
        <w:rPr>
          <w:b w:val="0"/>
          <w:i w:val="0"/>
        </w:rPr>
        <w:t>3. Trường hợp giá tài nguyên phổ biến trên thị trường biến động thấp hơn nhưng không quá 20% so với mức giá tối thiểu hoặc cao hơn nhưng không quá 20% so với mức giá tối đa của Khung giá tính thuế tài nguyên, Sở Tài chính chủ trì phối hợp với các cơ quan liên quan xác định và trình Ủy ban nhân dân cấp tỉnh ban hành Bảng giá tính thuế tài nguyên hoặc văn bản quy định điều chỉnh Bảng giá tính thuế tài nguyên.</w:t>
      </w:r>
    </w:p>
    <w:p>
      <w:r>
        <w:rPr>
          <w:b w:val="0"/>
          <w:i w:val="0"/>
        </w:rPr>
        <w:t>4. Trường hợp giá tài nguyên phổ biến trên thị trường biến động tăng trên 20% so với mức giá tối đa của Khung giá tính thuế tài nguyên, Sở Tài chính chủ trì phối hợp với các cơ quan liên quan xác định và trình Ủy ban nhân dân cấp tỉnh ban hành Bảng giá tính thuế tài nguyên hoặc văn bản quy định điều chỉnh Bảng giá tính thuế tài nguyên. Sau khi ban hành Bảng giá tính thuế tài nguyên hoặc văn bản quy định điều chỉnh Bảng giá tính thuế tài nguyên, Ủy ban nhân dân cấp tỉnh có trách nhiệm gửi văn bản về Bộ Tài chính để cung cấp thông tin kèm theo đề xuất, hồ sơ và phương án thuyết minh cụ thể làm cơ sở xem xét việc điều chỉnh Khung giá tính thuế tài nguyên.</w:t>
      </w:r>
    </w:p>
    <w:p>
      <w:r>
        <w:rPr>
          <w:b w:val="0"/>
          <w:i w:val="0"/>
        </w:rPr>
        <w:t>5. Trường hợp phát sinh loại tài nguyên mới chưa được quy định trong Khung giá tính thuế tài nguyên, Sở Tài chính chủ trì, phối hợp với các cơ quan liên quan căn cứ giá giao dịch phổ biến trên thị trường hoặc giá bán tài nguyên đó trên thị trường xác định và trình Ủy ban nhân dân cấp tỉnh ban hành Bảng giá tính thuế tài nguyên hoặc văn bản quy định bổ sung Bảng giá tính thuế đối với loại tài nguyên này. Sau khi ban hành Bảng giá tính thuế tài nguyên hoặc văn bản quy định bổ sung Bảng giá tính thuế tài nguyên, Ủy ban nhân dân cấp tỉnh có trách nhiệm gửi văn bản về Bộ Tài chính để cung cấp thông tin kèm theo đề xuất, hồ sơ và phương án thuyết minh cụ thể làm cơ sở xem xét việc bổ sung Khung giá tính thuế tài nguyên."</w:t>
      </w:r>
    </w:p>
    <w:p>
      <w:r>
        <w:rPr>
          <w:b/>
          <w:i w:val="0"/>
        </w:rPr>
        <w:t xml:space="preserve">Điều 2. Sửa đổi, bổ sung một số điều của Thông tư số 152/2015/TT- BTC ngày 02 tháng 10 năm 2015 của Bộ trưởng Bộ Tài chính hướng dẫn về </w:t>
      </w:r>
      <w:r>
        <w:rPr>
          <w:b/>
          <w:i w:val="0"/>
        </w:rPr>
        <w:t>thuế tài nguyên</w:t>
      </w:r>
    </w:p>
    <w:p>
      <w:r>
        <w:rPr>
          <w:b w:val="0"/>
          <w:i w:val="0"/>
        </w:rPr>
        <w:t>1. Bãi bỏ khoản 5.2 Điều 6.</w:t>
      </w:r>
    </w:p>
    <w:p>
      <w:r>
        <w:rPr>
          <w:b w:val="0"/>
          <w:i w:val="0"/>
        </w:rPr>
        <w:t>2. Sửa đổi khoản 5.3 Điều 6 như sau:</w:t>
      </w:r>
    </w:p>
    <w:p>
      <w:r>
        <w:rPr>
          <w:b w:val="0"/>
          <w:i w:val="0"/>
        </w:rPr>
        <w:t>"Sở Tài chính chủ trì phối hợp với các cơ quan liên quan xây dựng và trình Uỷ ban nhân dân cấp tỉnh ban hành Bảng giá tính thuế tài nguyên chậm nhất là ngày 31 tháng 12 hàng năm để công bố áp dụng từ ngày 01 tháng 01 năm tiếp theo liền kề.</w:t>
      </w:r>
    </w:p>
    <w:p>
      <w:r>
        <w:rPr>
          <w:b w:val="0"/>
          <w:i w:val="0"/>
        </w:rPr>
        <w:t>Chậm nhất 30 ngày kể từ ngày Ủy ban nhân dân cấp tỉnh ban hành Bảng giá tính thuế tài nguyên hoặc văn bản quy định điều chỉnh, bổ sung Bảng giá tính thuế tài nguyên, Sở Tài chính cung cấp thông tin và gửi văn bản về Bộ Tài chính (Tổng cục Thuế) để cập nhật cơ sở dữ liệu giá tính thuế tài nguyên."</w:t>
      </w:r>
    </w:p>
    <w:p>
      <w:r>
        <w:rPr>
          <w:b w:val="0"/>
          <w:i w:val="0"/>
        </w:rPr>
        <w:t>3. Sửa đổi điều khoản 1 Điều 13 như sau:</w:t>
      </w:r>
    </w:p>
    <w:p>
      <w:r>
        <w:rPr>
          <w:b w:val="0"/>
          <w:i w:val="0"/>
        </w:rPr>
        <w:t>"1. Ủy ban nhân dân cấp tỉnh có trách nhiệm:</w:t>
      </w:r>
    </w:p>
    <w:p>
      <w:r>
        <w:rPr>
          <w:b w:val="0"/>
          <w:i w:val="0"/>
        </w:rPr>
        <w:t>a) Chỉ đạo Sở Tài chính chủ trì, phối hợp với các cơ quan liên quan xây dựng Bảng giá tính thuế tài nguyên áp dụng tại địa phương; Thường xuyên rà soát, điều chỉnh phù hợp với biến động của thị trường."</w:t>
      </w:r>
    </w:p>
    <w:p>
      <w:r>
        <w:rPr>
          <w:b/>
          <w:i w:val="0"/>
        </w:rPr>
        <w:t>Điều 3. Điều khoản thi hành</w:t>
      </w:r>
    </w:p>
    <w:p>
      <w:r>
        <w:rPr>
          <w:b w:val="0"/>
          <w:i w:val="0"/>
        </w:rPr>
        <w:t>1. Thông tư này có hiệu lực kể từ ngày 15 tháng 7 năm 2024.</w:t>
      </w:r>
    </w:p>
    <w:p>
      <w:r>
        <w:rPr>
          <w:b w:val="0"/>
          <w:i w:val="0"/>
        </w:rPr>
        <w:t>2. Trong quá trình thực hiện, nếu có vướng mắc, đề nghị Ủy ban nhân dân cấp tỉnh, tổ chức, cá nhân phản ánh về Bộ Tài chính để được nghiên cứu giải quyết.</w:t>
      </w:r>
    </w:p>
    <w:p>
      <w:r>
        <w:rPr>
          <w:b w:val="0"/>
          <w:i w:val="0"/>
        </w:rPr>
        <w:br/>
      </w:r>
      <w:r>
        <w:rPr>
          <w:b w:val="0"/>
          <w:i w:val="0"/>
        </w:rPr>
        <w:br/>
      </w:r>
      <w:r>
        <w:rPr>
          <w:b w:val="0"/>
          <w:i w:val="0"/>
        </w:rPr>
        <w:br/>
      </w:r>
      <w:r>
        <w:rPr>
          <w:b w:val="0"/>
          <w:i w:val="0"/>
        </w:rPr>
        <w:br/>
      </w:r>
      <w:r>
        <w:rPr>
          <w:b w:val="0"/>
          <w:i w:val="0"/>
        </w:rPr>
        <w:br/>
      </w:r>
      <w:r>
        <w:rPr>
          <w:b w:val="0"/>
          <w:i w:val="0"/>
        </w:rPr>
        <w:br/>
      </w:r>
      <w:r>
        <w:rPr>
          <w:b/>
          <w:i/>
        </w:rPr>
        <w:t>Nơi nhận:</w:t>
      </w:r>
      <w:r>
        <w:br/>
      </w:r>
      <w:r>
        <w:rPr>
          <w:b w:val="0"/>
          <w:i w:val="0"/>
        </w:rPr>
        <w:t>- Văn phòng TW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Hội đồng Dân tộc;</w:t>
      </w:r>
      <w:r>
        <w:br/>
      </w:r>
      <w:r>
        <w:rPr>
          <w:b w:val="0"/>
          <w:i w:val="0"/>
        </w:rPr>
        <w:br/>
        <w:t xml:space="preserve">           - Ủy ban của Quốc hội;</w:t>
      </w:r>
      <w:r>
        <w:br/>
      </w:r>
      <w:r>
        <w:rPr>
          <w:b w:val="0"/>
          <w:i w:val="0"/>
        </w:rPr>
        <w:br/>
        <w:t xml:space="preserve">           - Ủy ban Tài chính, Ngân sách của Quốc hội;</w:t>
      </w:r>
      <w:r>
        <w:br/>
      </w:r>
      <w:r>
        <w:rPr>
          <w:b w:val="0"/>
          <w:i w:val="0"/>
        </w:rPr>
        <w:br/>
        <w:t xml:space="preserve">           - Văn phòng Chủ tịch nước;</w:t>
      </w:r>
      <w:r>
        <w:br/>
      </w:r>
      <w:r>
        <w:rPr>
          <w:b w:val="0"/>
          <w:i w:val="0"/>
        </w:rPr>
        <w:br/>
        <w:t xml:space="preserve">           - Viện Kiểm sát NDTC;</w:t>
      </w:r>
      <w:r>
        <w:br/>
      </w:r>
      <w:r>
        <w:rPr>
          <w:b w:val="0"/>
          <w:i w:val="0"/>
        </w:rPr>
        <w:br/>
        <w:t xml:space="preserve">           - Toà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Cơ quan TW của các đoàn thể;</w:t>
      </w:r>
      <w:r>
        <w:br/>
      </w:r>
      <w:r>
        <w:rPr>
          <w:b w:val="0"/>
          <w:i w:val="0"/>
        </w:rPr>
        <w:br/>
        <w:t xml:space="preserve">           - UBND các tỉnh, TP trực thuộc TW;</w:t>
      </w:r>
      <w:r>
        <w:br/>
      </w:r>
      <w:r>
        <w:rPr>
          <w:b w:val="0"/>
          <w:i w:val="0"/>
        </w:rPr>
        <w:br/>
        <w:t xml:space="preserve">           - Sở Tài chính, Sở Tài nguyên và Môi trường, Cục Thuế, Sở Xây dựng, Sở Công thương, Kho bạc Nhà nước các tỉnh, TP trực thuộc TW;</w:t>
      </w:r>
      <w:r>
        <w:br/>
      </w:r>
      <w:r>
        <w:rPr>
          <w:b w:val="0"/>
          <w:i w:val="0"/>
        </w:rPr>
        <w:br/>
        <w:t xml:space="preserve">           - Liên đoàn Thương mại và Công nghiệp Việt Nam;</w:t>
      </w:r>
      <w:r>
        <w:br/>
      </w:r>
      <w:r>
        <w:rPr>
          <w:b w:val="0"/>
          <w:i w:val="0"/>
        </w:rPr>
        <w:br/>
        <w:t xml:space="preserve">           - Công báo;</w:t>
      </w:r>
      <w:r>
        <w:br/>
      </w:r>
      <w:r>
        <w:rPr>
          <w:b w:val="0"/>
          <w:i w:val="0"/>
        </w:rPr>
        <w:br/>
        <w:t xml:space="preserve">           - Cục Kiểm tra văn bản QPPL - Bộ Tư pháp;</w:t>
      </w:r>
      <w:r>
        <w:br/>
      </w:r>
      <w:r>
        <w:rPr>
          <w:b w:val="0"/>
          <w:i w:val="0"/>
        </w:rPr>
        <w:br/>
        <w:t xml:space="preserve">           - Website Chính phủ; Website Bộ Tài chính;</w:t>
      </w:r>
      <w:r>
        <w:br/>
      </w:r>
      <w:r>
        <w:rPr>
          <w:b w:val="0"/>
          <w:i w:val="0"/>
        </w:rPr>
        <w:br/>
        <w:t xml:space="preserve">           - Các đơn vị thuộc Bộ Tài chính;</w:t>
      </w:r>
      <w:r>
        <w:br/>
      </w:r>
      <w:r>
        <w:rPr>
          <w:b w:val="0"/>
          <w:i w:val="0"/>
        </w:rPr>
        <w:br/>
        <w:t xml:space="preserve">           - Lưu: VT, TCT (VT,CS).</w:t>
      </w:r>
      <w:r>
        <w:rPr>
          <w:b w:val="0"/>
          <w:i w:val="0"/>
        </w:rPr>
        <w:br/>
      </w:r>
      <w:r>
        <w:rPr>
          <w:b w:val="0"/>
          <w:i w:val="0"/>
        </w:rPr>
        <w:br/>
      </w:r>
      <w:r>
        <w:rPr>
          <w:b/>
          <w:i w:val="0"/>
        </w:rPr>
        <w:t>KT. BỘ TRƯỞNG</w:t>
      </w:r>
      <w:r>
        <w:br/>
      </w:r>
      <w:r>
        <w:rPr>
          <w:b/>
          <w:i w:val="0"/>
        </w:rPr>
        <w:t>THỨ TRƯỞNG</w:t>
      </w:r>
      <w:r>
        <w:br/>
      </w:r>
      <w:r>
        <w:br/>
      </w:r>
      <w:r>
        <w:rPr>
          <w:b/>
          <w:i/>
        </w:rPr>
        <w:t>(Đã ký)</w:t>
      </w:r>
      <w:r>
        <w:br/>
      </w:r>
      <w:r>
        <w:br/>
      </w:r>
      <w:r>
        <w:br/>
      </w:r>
      <w:r>
        <w:rPr>
          <w:b/>
          <w:i w:val="0"/>
        </w:rPr>
        <w:t>Cao Anh Tuấn</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rPr>
        <w:t>Nơi nhận:</w:t>
      </w:r>
      <w:r>
        <w:br/>
      </w:r>
      <w:r>
        <w:rPr>
          <w:b w:val="0"/>
          <w:i w:val="0"/>
        </w:rPr>
        <w:t>- Văn phòng TW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Hội đồng Dân tộc;</w:t>
      </w:r>
      <w:r>
        <w:br/>
      </w:r>
      <w:r>
        <w:rPr>
          <w:b w:val="0"/>
          <w:i w:val="0"/>
        </w:rPr>
        <w:br/>
        <w:t xml:space="preserve">           - Ủy ban của Quốc hội;</w:t>
      </w:r>
      <w:r>
        <w:br/>
      </w:r>
      <w:r>
        <w:rPr>
          <w:b w:val="0"/>
          <w:i w:val="0"/>
        </w:rPr>
        <w:br/>
        <w:t xml:space="preserve">           - Ủy ban Tài chính, Ngân sách của Quốc hội;</w:t>
      </w:r>
      <w:r>
        <w:br/>
      </w:r>
      <w:r>
        <w:rPr>
          <w:b w:val="0"/>
          <w:i w:val="0"/>
        </w:rPr>
        <w:br/>
        <w:t xml:space="preserve">           - Văn phòng Chủ tịch nước;</w:t>
      </w:r>
      <w:r>
        <w:br/>
      </w:r>
      <w:r>
        <w:rPr>
          <w:b w:val="0"/>
          <w:i w:val="0"/>
        </w:rPr>
        <w:br/>
        <w:t xml:space="preserve">           - Viện Kiểm sát NDTC;</w:t>
      </w:r>
      <w:r>
        <w:br/>
      </w:r>
      <w:r>
        <w:rPr>
          <w:b w:val="0"/>
          <w:i w:val="0"/>
        </w:rPr>
        <w:br/>
        <w:t xml:space="preserve">           - Toà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Cơ quan TW của các đoàn thể;</w:t>
      </w:r>
      <w:r>
        <w:br/>
      </w:r>
      <w:r>
        <w:rPr>
          <w:b w:val="0"/>
          <w:i w:val="0"/>
        </w:rPr>
        <w:br/>
        <w:t xml:space="preserve">           - UBND các tỉnh, TP trực thuộc TW;</w:t>
      </w:r>
      <w:r>
        <w:br/>
      </w:r>
      <w:r>
        <w:rPr>
          <w:b w:val="0"/>
          <w:i w:val="0"/>
        </w:rPr>
        <w:br/>
        <w:t xml:space="preserve">           - Sở Tài chính, Sở Tài nguyên và Môi trường, Cục Thuế, Sở Xây dựng, Sở Công thương, Kho bạc Nhà nước các tỉnh, TP trực thuộc TW;</w:t>
      </w:r>
      <w:r>
        <w:br/>
      </w:r>
      <w:r>
        <w:rPr>
          <w:b w:val="0"/>
          <w:i w:val="0"/>
        </w:rPr>
        <w:br/>
        <w:t xml:space="preserve">           - Liên đoàn Thương mại và Công nghiệp Việt Nam;</w:t>
      </w:r>
      <w:r>
        <w:br/>
      </w:r>
      <w:r>
        <w:rPr>
          <w:b w:val="0"/>
          <w:i w:val="0"/>
        </w:rPr>
        <w:br/>
        <w:t xml:space="preserve">           - Công báo;</w:t>
      </w:r>
      <w:r>
        <w:br/>
      </w:r>
      <w:r>
        <w:rPr>
          <w:b w:val="0"/>
          <w:i w:val="0"/>
        </w:rPr>
        <w:br/>
        <w:t xml:space="preserve">           - Cục Kiểm tra văn bản QPPL - Bộ Tư pháp;</w:t>
      </w:r>
      <w:r>
        <w:br/>
      </w:r>
      <w:r>
        <w:rPr>
          <w:b w:val="0"/>
          <w:i w:val="0"/>
        </w:rPr>
        <w:br/>
        <w:t xml:space="preserve">           - Website Chính phủ; Website Bộ Tài chính;</w:t>
      </w:r>
      <w:r>
        <w:br/>
      </w:r>
      <w:r>
        <w:rPr>
          <w:b w:val="0"/>
          <w:i w:val="0"/>
        </w:rPr>
        <w:br/>
        <w:t xml:space="preserve">           - Các đơn vị thuộc Bộ Tài chính;</w:t>
      </w:r>
      <w:r>
        <w:br/>
      </w:r>
      <w:r>
        <w:rPr>
          <w:b w:val="0"/>
          <w:i w:val="0"/>
        </w:rPr>
        <w:br/>
        <w:t xml:space="preserve">           - Lưu: VT, TCT (VT,CS).</w:t>
      </w:r>
      <w:r>
        <w:rPr>
          <w:b w:val="0"/>
          <w:i w:val="0"/>
        </w:rPr>
        <w:br/>
      </w:r>
      <w:r>
        <w:rPr>
          <w:b w:val="0"/>
          <w:i w:val="0"/>
        </w:rPr>
        <w:br/>
      </w:r>
      <w:r>
        <w:rPr>
          <w:b/>
          <w:i w:val="0"/>
        </w:rPr>
        <w:t>KT. BỘ TRƯỞNG</w:t>
      </w:r>
      <w:r>
        <w:br/>
      </w:r>
      <w:r>
        <w:rPr>
          <w:b/>
          <w:i w:val="0"/>
        </w:rPr>
        <w:t>THỨ TRƯỞNG</w:t>
      </w:r>
      <w:r>
        <w:br/>
      </w:r>
      <w:r>
        <w:br/>
      </w:r>
      <w:r>
        <w:rPr>
          <w:b/>
          <w:i/>
        </w:rPr>
        <w:t>(Đã ký)</w:t>
      </w:r>
      <w:r>
        <w:br/>
      </w:r>
      <w:r>
        <w:br/>
      </w:r>
      <w:r>
        <w:br/>
      </w:r>
      <w:r>
        <w:rPr>
          <w:b/>
          <w:i w:val="0"/>
        </w:rPr>
        <w:t>Cao Anh Tuấn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TW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Hội đồng Dân tộc;</w:t>
            </w:r>
            <w:r>
              <w:br/>
            </w:r>
            <w:r>
              <w:rPr>
                <w:b w:val="0"/>
                <w:i w:val="0"/>
              </w:rPr>
              <w:br/>
              <w:t xml:space="preserve">           - Ủy ban của Quốc hội;</w:t>
            </w:r>
            <w:r>
              <w:br/>
            </w:r>
            <w:r>
              <w:rPr>
                <w:b w:val="0"/>
                <w:i w:val="0"/>
              </w:rPr>
              <w:br/>
              <w:t xml:space="preserve">           - Ủy ban Tài chính, Ngân sách của Quốc hội;</w:t>
            </w:r>
            <w:r>
              <w:br/>
            </w:r>
            <w:r>
              <w:rPr>
                <w:b w:val="0"/>
                <w:i w:val="0"/>
              </w:rPr>
              <w:br/>
              <w:t xml:space="preserve">           - Văn phòng Chủ tịch nước;</w:t>
            </w:r>
            <w:r>
              <w:br/>
            </w:r>
            <w:r>
              <w:rPr>
                <w:b w:val="0"/>
                <w:i w:val="0"/>
              </w:rPr>
              <w:br/>
              <w:t xml:space="preserve">           - Viện Kiểm sát NDTC;</w:t>
            </w:r>
            <w:r>
              <w:br/>
            </w:r>
            <w:r>
              <w:rPr>
                <w:b w:val="0"/>
                <w:i w:val="0"/>
              </w:rPr>
              <w:br/>
              <w:t xml:space="preserve">           - Toà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Cơ quan TW của các đoàn thể;</w:t>
            </w:r>
            <w:r>
              <w:br/>
            </w:r>
            <w:r>
              <w:rPr>
                <w:b w:val="0"/>
                <w:i w:val="0"/>
              </w:rPr>
              <w:br/>
              <w:t xml:space="preserve">           - UBND các tỉnh, TP trực thuộc TW;</w:t>
            </w:r>
            <w:r>
              <w:br/>
            </w:r>
            <w:r>
              <w:rPr>
                <w:b w:val="0"/>
                <w:i w:val="0"/>
              </w:rPr>
              <w:br/>
              <w:t xml:space="preserve">           - Sở Tài chính, Sở Tài nguyên và Môi trường, Cục Thuế, Sở Xây dựng, Sở Công thương, Kho bạc Nhà nước các tỉnh, TP trực thuộc TW;</w:t>
            </w:r>
            <w:r>
              <w:br/>
            </w:r>
            <w:r>
              <w:rPr>
                <w:b w:val="0"/>
                <w:i w:val="0"/>
              </w:rPr>
              <w:br/>
              <w:t xml:space="preserve">           - Liên đoàn Thương mại và Công nghiệp Việt Nam;</w:t>
            </w:r>
            <w:r>
              <w:br/>
            </w:r>
            <w:r>
              <w:rPr>
                <w:b w:val="0"/>
                <w:i w:val="0"/>
              </w:rPr>
              <w:br/>
              <w:t xml:space="preserve">           - Công báo;</w:t>
            </w:r>
            <w:r>
              <w:br/>
            </w:r>
            <w:r>
              <w:rPr>
                <w:b w:val="0"/>
                <w:i w:val="0"/>
              </w:rPr>
              <w:br/>
              <w:t xml:space="preserve">           - Cục Kiểm tra văn bản QPPL - Bộ Tư pháp;</w:t>
            </w:r>
            <w:r>
              <w:br/>
            </w:r>
            <w:r>
              <w:rPr>
                <w:b w:val="0"/>
                <w:i w:val="0"/>
              </w:rPr>
              <w:br/>
              <w:t xml:space="preserve">           - Website Chính phủ; Website Bộ Tài chính;</w:t>
            </w:r>
            <w:r>
              <w:br/>
            </w:r>
            <w:r>
              <w:rPr>
                <w:b w:val="0"/>
                <w:i w:val="0"/>
              </w:rPr>
              <w:br/>
              <w:t xml:space="preserve">           - Các đơn vị thuộc Bộ Tài chính;</w:t>
            </w:r>
            <w:r>
              <w:br/>
            </w:r>
            <w:r>
              <w:rPr>
                <w:b w:val="0"/>
                <w:i w:val="0"/>
              </w:rPr>
              <w:br/>
              <w:t xml:space="preserve">           - Lưu: VT, TCT (VT,CS).</w:t>
            </w:r>
          </w:p>
        </w:tc>
        <w:tc>
          <w:tcPr>
            <w:tcW w:type="dxa" w:w="4320"/>
          </w:tcPr>
          <w:p>
            <w:r>
              <w:rPr>
                <w:b w:val="0"/>
                <w:i w:val="0"/>
              </w:rPr>
              <w:br/>
            </w:r>
            <w:r>
              <w:rPr>
                <w:b/>
                <w:i w:val="0"/>
              </w:rPr>
              <w:t>KT. BỘ TRƯỞNG</w:t>
            </w:r>
            <w:r>
              <w:br/>
            </w:r>
            <w:r>
              <w:rPr>
                <w:b/>
                <w:i w:val="0"/>
              </w:rPr>
              <w:t>THỨ TRƯỞNG</w:t>
            </w:r>
            <w:r>
              <w:br/>
            </w:r>
            <w:r>
              <w:br/>
            </w:r>
            <w:r>
              <w:rPr>
                <w:b/>
                <w:i/>
              </w:rPr>
              <w:t>(Đã ký)</w:t>
            </w:r>
            <w:r>
              <w:br/>
            </w:r>
            <w:r>
              <w:br/>
            </w:r>
            <w:r>
              <w:br/>
            </w:r>
            <w:r>
              <w:rPr>
                <w:b/>
                <w:i w:val="0"/>
              </w:rPr>
              <w:t>Cao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