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52-CP Về việc điều chỉnh mức thuế môn bài</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52-CP</w:t>
      </w:r>
      <w:r>
        <w:rPr>
          <w:b w:val="0"/>
          <w:i w:val="0"/>
        </w:rPr>
        <w:br/>
      </w:r>
      <w:r>
        <w:rPr>
          <w:b w:val="0"/>
          <w:i w:val="0"/>
        </w:rPr>
        <w:br/>
      </w:r>
      <w:r>
        <w:rPr>
          <w:b w:val="0"/>
          <w:i/>
        </w:rPr>
        <w:t>Hà Nội, ngày 09 tháng 9 năm 1996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Về việc điều chỉnh thuế môn bài</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Điều lệ thuế công thương nghiệp ban hành kèm theo Quyết định số 200/NQ-TVQH ngày 18 tháng 1 năm 1966 của Uỷ ban Thường vụ Quốc hội, Pháp lệnh ngày 3 tháng 3 năm 1989 của Hội đồng Nhà nước sửa đổi, bổ sung một số điều trong các Pháp lệnh, Điều lệ về thuế công nghiệp và thuế hàng hoá, Nghị quyết số 473/NQ-HĐNN ngày 10 tháng 9 năm 1991 của Hội đồng Nhà nước về thuế môn bài và thuế sát sinh;</w:t>
      </w:r>
      <w:r>
        <w:rPr>
          <w:b w:val="0"/>
          <w:i w:val="0"/>
        </w:rPr>
        <w:br/>
      </w:r>
      <w:r>
        <w:rPr>
          <w:b w:val="0"/>
          <w:i/>
        </w:rPr>
        <w:t>Căn cứ mức trượt giá từ 1994 đến nay;</w:t>
      </w:r>
      <w:r>
        <w:rPr>
          <w:b w:val="0"/>
          <w:i w:val="0"/>
        </w:rPr>
        <w:br/>
      </w:r>
      <w:r>
        <w:rPr>
          <w:b w:val="0"/>
          <w:i/>
        </w:rPr>
        <w:t>Theo đề nghị của Bộ trưởng Bộ Tài chính,</w:t>
      </w:r>
      <w:r>
        <w:rPr>
          <w:b w:val="0"/>
          <w:i w:val="0"/>
        </w:rPr>
        <w:br/>
      </w:r>
      <w:r>
        <w:rPr>
          <w:b/>
          <w:i w:val="0"/>
        </w:rPr>
        <w:t>NGHỊ ĐỊNH:</w:t>
      </w:r>
      <w:r>
        <w:rPr>
          <w:b w:val="0"/>
          <w:i w:val="0"/>
        </w:rPr>
        <w:br/>
      </w:r>
      <w:r>
        <w:rPr>
          <w:b/>
          <w:i w:val="0"/>
        </w:rPr>
        <w:t>Điều 1.-</w:t>
      </w:r>
      <w:r>
        <w:rPr>
          <w:b w:val="0"/>
          <w:i w:val="0"/>
        </w:rPr>
        <w:t xml:space="preserve"> Từ năm 1997 các tổ chức và cá nhân kinh doanh nộp thuế môn bài theo các mức sau: 850.000 đ, 550.000 đ, 325.000 đ, 165.000 đ , 60.000 đ, 25.000 đ. Bộ Tài chính hướng dẫn cụ thể căn cứ tính thuế môn bài theo các mức trên.</w:t>
      </w:r>
      <w:r>
        <w:rPr>
          <w:b w:val="0"/>
          <w:i w:val="0"/>
        </w:rPr>
        <w:br/>
      </w:r>
      <w:r>
        <w:rPr>
          <w:b/>
          <w:i w:val="0"/>
        </w:rPr>
        <w:t>Điều 2.-</w:t>
      </w:r>
      <w:r>
        <w:rPr>
          <w:b w:val="0"/>
          <w:i w:val="0"/>
        </w:rPr>
        <w:t xml:space="preserve"> Nghị định này có hiệu lực thi hành từ ngày ký, thay thế các mức thuế môn bài quy định tại Nghị định số 180/CP ngày 7 tháng 11 năm1994 của Chính phủ.</w:t>
      </w:r>
      <w:r>
        <w:rPr>
          <w:b w:val="0"/>
          <w:i w:val="0"/>
        </w:rPr>
        <w:br/>
      </w:r>
      <w:r>
        <w:rPr>
          <w:b/>
          <w:i w:val="0"/>
        </w:rPr>
        <w:t>Điều 3.-</w:t>
      </w:r>
      <w:r>
        <w:rPr>
          <w:b w:val="0"/>
          <w:i w:val="0"/>
        </w:rPr>
        <w:t xml:space="preserve"> Các Bộ trưởng, Thủ trưởng cơ quan ngang Bộ, Thủ trưởng cơ quan thuộc Chính phủ, Chủ tịch Uỷ ban nhân dân tỉnh, thành phố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CHÍNH PHỦ</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