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69/2012/NĐ-CP Sửa đổi, bổ sung Khoản 3 Điều 2 Nghị định số 67/2011/NĐ-CP ngày 08 tháng 8 năm 2011 của Chính phủ quy định chi tiết và hướng dẫn thi hành một số điều của Luật Thuế bảo vệ môi trường</w:t>
      </w:r>
    </w:p>
    <w:p>
      <w:r>
        <w:rPr>
          <w:b w:val="0"/>
          <w:i w:val="0"/>
        </w:rPr>
        <w:br/>
      </w:r>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69/2012/NĐ-CP</w:t>
      </w:r>
      <w:r>
        <w:rPr>
          <w:b w:val="0"/>
          <w:i w:val="0"/>
        </w:rPr>
        <w:br/>
      </w:r>
      <w:r>
        <w:rPr>
          <w:b w:val="0"/>
          <w:i w:val="0"/>
        </w:rPr>
        <w:br/>
      </w:r>
      <w:r>
        <w:rPr>
          <w:b w:val="0"/>
          <w:i/>
        </w:rPr>
        <w:br/>
      </w:r>
      <w:r>
        <w:rPr>
          <w:b w:val="0"/>
          <w:i/>
        </w:rPr>
        <w:t>Ngày 14 tháng 9 năm 2012</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69/2012/NĐ-CP</w:t>
      </w:r>
      <w:r>
        <w:rPr>
          <w:b w:val="0"/>
          <w:i w:val="0"/>
        </w:rPr>
        <w:br/>
      </w:r>
      <w:r>
        <w:rPr>
          <w:b w:val="0"/>
          <w:i w:val="0"/>
        </w:rPr>
        <w:br/>
      </w:r>
      <w:r>
        <w:rPr>
          <w:b w:val="0"/>
          <w:i/>
        </w:rPr>
        <w:br/>
      </w:r>
      <w:r>
        <w:rPr>
          <w:b w:val="0"/>
          <w:i/>
        </w:rPr>
        <w:t>Ngày 14 tháng 9 năm 2012</w:t>
      </w:r>
      <w:r>
        <w:rPr>
          <w:b w:val="0"/>
          <w:i/>
        </w:rPr>
        <w:br/>
      </w:r>
      <w:r>
        <w:rPr>
          <w:b w:val="0"/>
          <w:i w:val="0"/>
        </w:rPr>
        <w:br/>
      </w:r>
      <w:r>
        <w:rPr>
          <w:b w:val="0"/>
          <w:i w:val="0"/>
        </w:rPr>
        <w:br/>
      </w:r>
    </w:p>
    <w:p>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CHÍNH PHỦ</w:t>
      </w:r>
      <w:r>
        <w:rPr>
          <w:b w:val="0"/>
          <w:i w:val="0"/>
        </w:rPr>
        <w:br/>
      </w:r>
      <w:r>
        <w:rPr>
          <w:b w:val="0"/>
          <w:i w:val="0"/>
        </w:rPr>
        <w:br/>
      </w:r>
      <w:r>
        <w:rPr>
          <w:b w:val="0"/>
          <w:i w:val="0"/>
        </w:rPr>
        <w:br/>
      </w:r>
    </w:p>
    <w:p>
      <w:r>
        <w:rPr>
          <w:b w:val="0"/>
          <w:i w:val="0"/>
        </w:rPr>
        <w:br/>
      </w:r>
      <w:r>
        <w:rPr>
          <w:b w:val="0"/>
          <w:i w:val="0"/>
        </w:rPr>
        <w:t>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69/2012/NĐ-CP</w:t>
      </w:r>
      <w:r>
        <w:rPr>
          <w:b w:val="0"/>
          <w:i w:val="0"/>
        </w:rPr>
        <w:br/>
      </w:r>
      <w:r>
        <w:rPr>
          <w:b w:val="0"/>
          <w:i w:val="0"/>
        </w:rPr>
        <w:br/>
      </w:r>
      <w:r>
        <w:rPr>
          <w:b w:val="0"/>
          <w:i/>
        </w:rPr>
        <w:br/>
      </w:r>
      <w:r>
        <w:rPr>
          <w:b w:val="0"/>
          <w:i/>
        </w:rPr>
        <w:t>Ngày 14 tháng 9 năm 2012</w:t>
      </w:r>
      <w:r>
        <w:rPr>
          <w:b w:val="0"/>
          <w:i/>
        </w:rPr>
        <w:br/>
      </w:r>
      <w:r>
        <w:rPr>
          <w:b w:val="0"/>
          <w:i w:val="0"/>
        </w:rPr>
        <w:br/>
      </w:r>
    </w:p>
    <w:p>
      <w:pPr>
        <w:jc w:val="center"/>
      </w:pPr>
      <w:r>
        <w:rPr>
          <w:b w:val="0"/>
          <w:i w:val="0"/>
        </w:rPr>
        <w:br/>
      </w:r>
      <w:r>
        <w:rPr>
          <w:b w:val="0"/>
          <w:i w:val="0"/>
        </w:rPr>
        <w:t>Số: 69/2012/NĐ-CP</w:t>
      </w:r>
      <w:r>
        <w:rPr>
          <w:b w:val="0"/>
          <w:i w:val="0"/>
        </w:rPr>
        <w:br/>
      </w:r>
    </w:p>
    <w:p>
      <w:pPr>
        <w:jc w:val="center"/>
      </w:pPr>
      <w:r>
        <w:rPr>
          <w:b w:val="0"/>
          <w:i w:val="0"/>
        </w:rPr>
        <w:br/>
      </w:r>
      <w:r>
        <w:rPr>
          <w:b w:val="0"/>
          <w:i w:val="0"/>
        </w:rPr>
        <w:t>Ngày 14 tháng 9 năm 2012</w:t>
      </w:r>
      <w:r>
        <w:rPr>
          <w:b w:val="0"/>
          <w:i w:val="0"/>
        </w:rPr>
        <w:br/>
      </w:r>
    </w:p>
    <w:p>
      <w:pPr>
        <w:jc w:val="center"/>
      </w:pPr>
      <w:r>
        <w:rPr>
          <w:b/>
          <w:i w:val="0"/>
        </w:rPr>
        <w:t>NGHỊ ĐỊNH</w:t>
      </w:r>
    </w:p>
    <w:p>
      <w:pPr>
        <w:jc w:val="center"/>
      </w:pPr>
      <w:r>
        <w:rPr>
          <w:b/>
          <w:i w:val="0"/>
        </w:rPr>
        <w:t>Sửa đổi, bổ sung Khoản 3 Điều 2 Nghị định số 67/2011/NĐ-CP</w:t>
      </w:r>
    </w:p>
    <w:p>
      <w:pPr>
        <w:jc w:val="center"/>
      </w:pPr>
      <w:r>
        <w:rPr>
          <w:b/>
          <w:i w:val="0"/>
        </w:rPr>
        <w:t xml:space="preserve">ngày 08 tháng 8 năm 2011 của Chính phủ </w:t>
      </w:r>
      <w:r>
        <w:rPr>
          <w:b/>
          <w:i w:val="0"/>
        </w:rPr>
        <w:t xml:space="preserve">quy định chi tiết </w:t>
      </w:r>
    </w:p>
    <w:p>
      <w:pPr>
        <w:jc w:val="center"/>
      </w:pPr>
      <w:r>
        <w:rPr>
          <w:b/>
          <w:i w:val="0"/>
        </w:rPr>
        <w:t>và hướng dẫn thi hành một số điều của Luật Thuế bảo vệ môi trường</w:t>
      </w:r>
      <w:r>
        <w:rPr>
          <w:b w:val="0"/>
          <w:i w:val="0"/>
        </w:rPr>
        <w:t xml:space="preserve"> </w:t>
      </w:r>
    </w:p>
    <w:p>
      <w:pPr>
        <w:jc w:val="both"/>
      </w:pPr>
      <w:r>
        <w:rPr>
          <w:b w:val="0"/>
          <w:i w:val="0"/>
        </w:rPr>
        <w:t>Căn cứ Luật Tổ chức Chính phủ ngày 25 tháng 12 năm 2001;</w:t>
      </w:r>
    </w:p>
    <w:p>
      <w:pPr>
        <w:jc w:val="both"/>
      </w:pPr>
      <w:r>
        <w:rPr>
          <w:b w:val="0"/>
          <w:i w:val="0"/>
        </w:rPr>
        <w:t>Căn cứ Luật Thuế bảo vệ môi trường ngày 15 tháng 11 năm 2010;</w:t>
      </w:r>
    </w:p>
    <w:p>
      <w:pPr>
        <w:jc w:val="both"/>
      </w:pPr>
      <w:r>
        <w:rPr>
          <w:b w:val="0"/>
          <w:i w:val="0"/>
        </w:rPr>
        <w:t>Theo đề nghị của Bộ trưởng Bộ Tài chính;</w:t>
      </w:r>
    </w:p>
    <w:p>
      <w:pPr>
        <w:jc w:val="both"/>
      </w:pPr>
      <w:r>
        <w:rPr>
          <w:b w:val="0"/>
          <w:i w:val="0"/>
        </w:rPr>
        <w:t>Chính phủ ban hành Nghị định sửa đổi, bổ sung Khoản 3 Điều 2 Nghị định số 67/2011/NĐ-CP ngày 08 tháng 8 năm 2011 quy định chi tiết và hướng dẫn thi hành một số điều của Luật Thuế bảo vệ môi trường,</w:t>
      </w:r>
    </w:p>
    <w:p>
      <w:r>
        <w:rPr>
          <w:b/>
          <w:i w:val="0"/>
        </w:rPr>
        <w:t xml:space="preserve">Điều 1. </w:t>
      </w:r>
      <w:r>
        <w:rPr>
          <w:b w:val="0"/>
          <w:i w:val="0"/>
        </w:rPr>
        <w:t>Sửa đổi, bổ sung Khoản 3 Điều 2 Nghị định số 67/2011/NĐ-CP ngày 08 tháng 8 năm 2011 của Chính phủ quy định chi tiết và hướng dẫn thi hành một số điều của Luật Thuế bảo vệ môi trường như sau:</w:t>
      </w:r>
    </w:p>
    <w:p>
      <w:r>
        <w:rPr>
          <w:b w:val="0"/>
          <w:i w:val="0"/>
        </w:rPr>
        <w:t xml:space="preserve">"3. Đối với túi ni lông thuộc diện chịu thuế (túi nhựa) quy định tại Khoản 4 Điều 3 của Luật Thuế bảo vệ môi trường là loại túi, bao bì nhựa mỏng có hình dạng túi (có miệng túi, có đáy túi, có thành túi và có thể đựng sản phẩm trong đó) được làm từ màng nhựa đơn HDPE (high density polyethylene resin), LDPE (Low density polyethylen) hoặc LLDPE (Linear low density polyethylen resin), trừ bao bì đóng gói sẵn hàng hóa và túi ni lông đáp ứng tiêu chí thân thiện với môi trường theo quy định của Bộ Tài nguyên và Môi trường. </w:t>
      </w:r>
    </w:p>
    <w:p>
      <w:r>
        <w:rPr>
          <w:b w:val="0"/>
          <w:i w:val="0"/>
        </w:rPr>
        <w:t>Bao bì đóng gói sẵn hàng hoá quy định tại Khoản này (kể cả có hình dạng túi và không có hình dạng túi), bao gồm:</w:t>
      </w:r>
    </w:p>
    <w:p>
      <w:r>
        <w:rPr>
          <w:b w:val="0"/>
          <w:i w:val="0"/>
        </w:rPr>
        <w:t>a) Bao bì đóng gói sẵn hàng hóa nhập khẩu;</w:t>
      </w:r>
    </w:p>
    <w:p>
      <w:r>
        <w:rPr>
          <w:b w:val="0"/>
          <w:i w:val="0"/>
        </w:rPr>
        <w:t>b) Bao bì mà tổ chức, hộ gia đình, cá nhân tự sản xuất hoặc nhập khẩu để đóng gói sản phẩm do tổ chức, hộ gia đình, cá nhân đó sản xuất, gia công ra hoặc mua sản phẩm về đóng gói hoặc làm dịch vụ đóng gói;</w:t>
      </w:r>
    </w:p>
    <w:p>
      <w:r>
        <w:rPr>
          <w:b w:val="0"/>
          <w:i w:val="0"/>
        </w:rPr>
        <w:t>c) Bao bì mà tổ chức, hộ gia đình, cá nhân mua trực tiếp của người sản xuất hoặc người nhập khẩu để đóng gói sản phẩm do tổ chức, hộ gia đình, cá nhân đó sản xuất, gia công ra hoặc mua sản phẩm về đóng gói hoặc làm dịch vụ đóng gói."</w:t>
      </w:r>
    </w:p>
    <w:p>
      <w:r>
        <w:rPr>
          <w:b/>
          <w:i w:val="0"/>
        </w:rPr>
        <w:t xml:space="preserve">Điều 2. </w:t>
      </w:r>
      <w:r>
        <w:rPr>
          <w:b w:val="0"/>
          <w:i w:val="0"/>
        </w:rPr>
        <w:t>Hiệu lực và hướng dẫn thi hành</w:t>
      </w:r>
    </w:p>
    <w:p>
      <w:r>
        <w:rPr>
          <w:b w:val="0"/>
          <w:i w:val="0"/>
        </w:rPr>
        <w:t>1. Nghị định này có hiệu lực thi hành kể từ ngày 15 tháng 11 năm 2012.</w:t>
      </w:r>
    </w:p>
    <w:p>
      <w:r>
        <w:rPr>
          <w:b w:val="0"/>
          <w:i w:val="0"/>
        </w:rPr>
        <w:t>2. Bộ Tài chính hướng dẫn thi hành Nghị định này.</w:t>
      </w:r>
    </w:p>
    <w:p>
      <w:r>
        <w:rPr>
          <w:b w:val="0"/>
          <w:i w:val="0"/>
        </w:rPr>
        <w:t>3. Các Bộ trưởng, Thủ trưởng cơ quan ngang Bộ, Thủ trưởng cơ quan thuộc Chính phủ, Chủ tịch Ủy ban nhân dân các tỉnh, thành phố trực thuộc Trung ương chịu trách nhiệm thi hành Nghị định này./.</w:t>
      </w:r>
    </w:p>
    <w:p>
      <w:r>
        <w:rPr>
          <w:b w:val="0"/>
          <w:i w:val="0"/>
        </w:rPr>
        <w:br/>
      </w:r>
      <w:r>
        <w:rPr>
          <w:b w:val="0"/>
          <w:i w:val="0"/>
        </w:rPr>
        <w:br/>
      </w:r>
      <w:r>
        <w:rPr>
          <w:b w:val="0"/>
          <w:i w:val="0"/>
        </w:rPr>
        <w:br/>
      </w:r>
      <w:r>
        <w:rPr>
          <w:b/>
          <w:i w:val="0"/>
        </w:rPr>
        <w:br/>
      </w:r>
      <w:r>
        <w:rPr>
          <w:b/>
          <w:i w:val="0"/>
        </w:rPr>
        <w:br/>
      </w:r>
      <w:r>
        <w:rPr>
          <w:b/>
          <w:i w:val="0"/>
        </w:rPr>
        <w:br/>
      </w:r>
      <w:r>
        <w:rPr>
          <w:b/>
          <w:i w:val="0"/>
        </w:rPr>
        <w:t xml:space="preserve">TM. CHÍNH PHỦ </w:t>
      </w:r>
      <w:r>
        <w:rPr>
          <w:b/>
          <w:i w:val="0"/>
        </w:rPr>
        <w:br/>
      </w:r>
      <w:r>
        <w:br/>
      </w:r>
      <w:r>
        <w:rPr>
          <w:b/>
          <w:i w:val="0"/>
        </w:rPr>
        <w:t>THỦ TƯỚNG CHÍNH PHỦ</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TM. CHÍNH PHỦ </w:t>
      </w:r>
      <w:r>
        <w:rPr>
          <w:b/>
          <w:i w:val="0"/>
        </w:rPr>
        <w:br/>
      </w:r>
      <w:r>
        <w:br/>
      </w:r>
      <w:r>
        <w:rPr>
          <w:b/>
          <w:i w:val="0"/>
        </w:rPr>
        <w:t>THỦ TƯỚNG CHÍNH PHỦ</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CHÍNH PHỦ </w:t>
      </w:r>
      <w:r>
        <w:rPr>
          <w:b/>
          <w:i w:val="0"/>
        </w:rPr>
        <w:br/>
      </w:r>
      <w:r>
        <w:br/>
      </w:r>
      <w:r>
        <w:rPr>
          <w:b/>
          <w:i w:val="0"/>
        </w:rPr>
        <w:t>THỦ TƯỚNG CHÍNH PHỦ</w:t>
      </w:r>
      <w:r>
        <w:rPr>
          <w:b/>
          <w:i w:val="0"/>
        </w:rPr>
        <w:br/>
      </w:r>
      <w:r>
        <w:rPr>
          <w:b w:val="0"/>
          <w:i w:val="0"/>
        </w:rPr>
        <w:br/>
      </w:r>
      <w:r>
        <w:rPr>
          <w:b/>
          <w:i/>
        </w:rPr>
        <w:br/>
      </w:r>
      <w:r>
        <w:rPr>
          <w:b/>
          <w:i/>
        </w:rPr>
        <w:t>(Đã ký)</w:t>
      </w:r>
      <w:r>
        <w:rPr>
          <w:b/>
          <w:i/>
        </w:rPr>
        <w:br/>
      </w:r>
      <w:r>
        <w:rPr>
          <w:b w:val="0"/>
          <w:i w:val="0"/>
        </w:rPr>
        <w:br/>
      </w:r>
      <w:r>
        <w:rPr>
          <w:b/>
          <w:i w:val="0"/>
        </w:rPr>
        <w:br/>
      </w:r>
      <w:r>
        <w:rPr>
          <w:b/>
          <w:i w:val="0"/>
        </w:rPr>
        <w:t>Nguyễn Tấn Dũng</w:t>
      </w:r>
      <w:r>
        <w:rPr>
          <w:b/>
          <w:i w:val="0"/>
        </w:rPr>
        <w:br/>
      </w:r>
      <w:r>
        <w:rPr>
          <w:b w:val="0"/>
          <w:i w:val="0"/>
        </w:rPr>
        <w:br/>
      </w:r>
    </w:p>
    <w:p>
      <w:r>
        <w:rPr>
          <w:b w:val="0"/>
          <w:i w:val="0"/>
        </w:rPr>
        <w:br/>
      </w:r>
      <w:r>
        <w:rPr>
          <w:b w:val="0"/>
          <w:i w:val="0"/>
        </w:rPr>
        <w:t xml:space="preserve">TM. CHÍNH PHỦ </w:t>
      </w:r>
      <w:r>
        <w:rPr>
          <w:b w:val="0"/>
          <w:i w:val="0"/>
        </w:rPr>
        <w:br/>
      </w:r>
      <w:r>
        <w:br/>
      </w:r>
      <w:r>
        <w:rPr>
          <w:b w:val="0"/>
          <w:i w:val="0"/>
        </w:rPr>
        <w:t>THỦ TƯỚNG CHÍNH PHỦ</w:t>
      </w:r>
      <w:r>
        <w:rPr>
          <w:b w:val="0"/>
          <w:i w:val="0"/>
        </w:rPr>
        <w:br/>
      </w:r>
    </w:p>
    <w:p>
      <w:r>
        <w:rPr>
          <w:b w:val="0"/>
          <w:i w:val="0"/>
        </w:rPr>
        <w:br/>
      </w:r>
      <w:r>
        <w:rPr>
          <w:b w:val="0"/>
          <w:i w:val="0"/>
        </w:rPr>
        <w:t>(Đã ký)</w:t>
      </w:r>
      <w:r>
        <w:rPr>
          <w:b w:val="0"/>
          <w:i w:val="0"/>
        </w:rPr>
        <w:br/>
      </w:r>
    </w:p>
    <w:p>
      <w:r>
        <w:rPr>
          <w:b w:val="0"/>
          <w:i w:val="0"/>
        </w:rPr>
        <w:br/>
      </w:r>
      <w:r>
        <w:rPr>
          <w:b w:val="0"/>
          <w:i w:val="0"/>
        </w:rPr>
        <w:t>Nguyễn Tấn Dũng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