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78/2003/NĐ-CP Về việc ban hành Danh mục hàng hoá và thuế suất của Việt Nam để thực hiện Hiệp định Ưu đãi thuế quan có hiệu lực chung (CEPT)của các nước ASEAN cho các năm 2003 - 2006.</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i w:val="0"/>
        </w:rPr>
        <w:t xml:space="preserve"> </w:t>
      </w:r>
      <w:r>
        <w:rPr>
          <w:b w:val="0"/>
          <w:i w:val="0"/>
        </w:rPr>
        <w:br/>
      </w:r>
      <w:r>
        <w:rPr>
          <w:b w:val="0"/>
          <w:i w:val="0"/>
        </w:rPr>
        <w:br/>
      </w:r>
      <w:r>
        <w:rPr>
          <w:b/>
          <w:i w:val="0"/>
        </w:rPr>
        <w:t xml:space="preserve">CỘNG HÒA XÃ HỘI CHỦ NGHĨA VIỆT NAM </w:t>
      </w:r>
      <w:r>
        <w:br/>
      </w:r>
      <w:r>
        <w:rPr>
          <w:b/>
          <w:i w:val="0"/>
        </w:rPr>
        <w:br/>
        <w:t xml:space="preserve">           Độc Lập - Tự Do - Hạnh Phúc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Số: 78/2003/NĐ - CP</w:t>
      </w:r>
      <w:r>
        <w:rPr>
          <w:b w:val="0"/>
          <w:i w:val="0"/>
        </w:rPr>
        <w:br/>
      </w:r>
      <w:r>
        <w:rPr>
          <w:b w:val="0"/>
          <w:i w:val="0"/>
        </w:rPr>
        <w:br/>
      </w:r>
      <w:r>
        <w:rPr>
          <w:b w:val="0"/>
          <w:i/>
        </w:rPr>
        <w:t>Hà Nội, ngày 01 tháng 7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i w:val="0"/>
              </w:rPr>
              <w:t xml:space="preserve"> </w:t>
            </w:r>
          </w:p>
        </w:tc>
        <w:tc>
          <w:tcPr>
            <w:tcW w:type="dxa" w:w="4320"/>
          </w:tcPr>
          <w:p>
            <w:r>
              <w:rPr>
                <w:b w:val="0"/>
                <w:i w:val="0"/>
              </w:rPr>
              <w:br/>
            </w:r>
            <w:r>
              <w:rPr>
                <w:b/>
                <w:i w:val="0"/>
              </w:rPr>
              <w:t xml:space="preserve">CỘNG HÒA XÃ HỘI CHỦ NGHĨA VIỆT NAM </w:t>
            </w:r>
            <w:r>
              <w:br/>
            </w:r>
            <w:r>
              <w:rPr>
                <w:b/>
                <w:i w:val="0"/>
              </w:rPr>
              <w:br/>
              <w:t xml:space="preserve">           Độc Lập - Tự Do - Hạnh Phúc </w:t>
            </w:r>
            <w:r>
              <w:rPr>
                <w:b w:val="0"/>
                <w:i w:val="0"/>
              </w:rPr>
              <w:br/>
            </w:r>
            <w:r>
              <w:rPr>
                <w:b/>
                <w:i w:val="0"/>
              </w:rPr>
              <w:t xml:space="preserve">                                       </w:t>
            </w:r>
          </w:p>
        </w:tc>
      </w:tr>
    </w:tbl>
    <w:p>
      <w:r>
        <w:rPr>
          <w:b/>
          <w:i w:val="0"/>
        </w:rPr>
        <w:t>NGHỊ ĐỊNH</w:t>
      </w:r>
    </w:p>
    <w:p>
      <w:r>
        <w:rPr>
          <w:b/>
          <w:i w:val="0"/>
        </w:rPr>
        <w:t xml:space="preserve">Về việc ban hành danh mục hàng hoá và thuế suất của Việt Nam </w:t>
      </w:r>
    </w:p>
    <w:p>
      <w:r>
        <w:rPr>
          <w:b/>
          <w:i w:val="0"/>
        </w:rPr>
        <w:t>để thực hiện hiệp định ưu đãi thuế quan có hiệu lực chung (CEPT)</w:t>
      </w:r>
    </w:p>
    <w:p>
      <w:r>
        <w:rPr>
          <w:b/>
          <w:i w:val="0"/>
        </w:rPr>
        <w:t>của các nước ASEAN cho các năm 2003 – 2006</w:t>
      </w:r>
    </w:p>
    <w:p>
      <w:r>
        <w:rPr>
          <w:b/>
          <w:i w:val="0"/>
        </w:rPr>
        <w:t>______________</w:t>
      </w:r>
    </w:p>
    <w:p>
      <w:r>
        <w:rPr>
          <w:b/>
          <w:i w:val="0"/>
        </w:rPr>
        <w:t>CHÍNH PHỦ</w:t>
      </w:r>
    </w:p>
    <w:p>
      <w:r>
        <w:rPr>
          <w:b w:val="0"/>
          <w:i/>
        </w:rPr>
        <w:t>Căn cứ Luật Tổ chức Chính phủ ngày 25 tháng 12 năm 2001;</w:t>
      </w:r>
    </w:p>
    <w:p>
      <w:r>
        <w:rPr>
          <w:b w:val="0"/>
          <w:i/>
        </w:rPr>
        <w:t>Căn cứ Luật Thuế xuất khẩu, Thuế nhập khẩu;</w:t>
      </w:r>
    </w:p>
    <w:p>
      <w:r>
        <w:rPr>
          <w:b w:val="0"/>
          <w:i/>
        </w:rPr>
        <w:t>Căn cứ Nghị quyết số 292/NQ-UBTVQH9 ngày 08 tháng 11 năm 1995 của ủy ban Thường vụ Quốc hội về Chương trình giảm thuế nhập khẩu của Việt Nam để thực hiện Hiệp định Ưu đãi thuế quan có hiệu lực chung (CEPT) của các nước ASEAN;</w:t>
      </w:r>
    </w:p>
    <w:p>
      <w:r>
        <w:rPr>
          <w:b w:val="0"/>
          <w:i/>
        </w:rPr>
        <w:t>Theo đề nghị của Bộ trưởng Bộ Tài chính,</w:t>
      </w:r>
    </w:p>
    <w:p>
      <w:r>
        <w:rPr>
          <w:b/>
          <w:i w:val="0"/>
        </w:rPr>
        <w:t>NGHỊ ĐỊNH:</w:t>
      </w:r>
    </w:p>
    <w:p>
      <w:r>
        <w:rPr>
          <w:b/>
          <w:i w:val="0"/>
        </w:rPr>
        <w:t xml:space="preserve">Điều 1. </w:t>
      </w:r>
      <w:r>
        <w:rPr>
          <w:b w:val="0"/>
          <w:i w:val="0"/>
        </w:rPr>
        <w:t>Ban hành kèm theo Nghị định này Danh mục hàng hoá và thuế suất các mặt hàng của Việt Nam để thực hiện Hiệp định Ưu đãi thuế quan có hiệu lực chung (CEPT) của các nước ASEAN cho các năm 2003 - 2006.</w:t>
      </w:r>
    </w:p>
    <w:p>
      <w:r>
        <w:rPr>
          <w:b/>
          <w:i w:val="0"/>
        </w:rPr>
        <w:t xml:space="preserve">Điều 2. </w:t>
      </w:r>
      <w:r>
        <w:rPr>
          <w:b w:val="0"/>
          <w:i w:val="0"/>
        </w:rPr>
        <w:t>Nghị định này có hiệu lực thi hành kể từ ngày ký và thay thế các Nghị định số 21/2002/NĐ-CP ngày 28 tháng 02 năm 2002 của Chính phủ về ban hành Danh mục hàng hoá và thuế suất của Việt Nam để thực hiện Hiệp định Ưu đãi thuế quan có hiệu lực chung (CEPT) của các nước ASEAN cho năm 2002 và Nghị định số 53/2002/NĐ-CP ngày 13 tháng 5 năm 2002 của Chính phủ sửa đổi, bổ sung Nghị định số 21/2002/NĐ-CP ngày 28 tháng 02 năm 2002.</w:t>
      </w:r>
    </w:p>
    <w:p>
      <w:r>
        <w:rPr>
          <w:b/>
          <w:i w:val="0"/>
        </w:rPr>
        <w:t xml:space="preserve">Điều 3. </w:t>
      </w:r>
      <w:r>
        <w:rPr>
          <w:b w:val="0"/>
          <w:i w:val="0"/>
        </w:rPr>
        <w:t>Bộ Tài chính hướng dẫn thi hành Nghị định này.</w:t>
      </w:r>
    </w:p>
    <w:p>
      <w:r>
        <w:rPr>
          <w:b/>
          <w:i w:val="0"/>
        </w:rPr>
        <w:t xml:space="preserve">Điều 4. </w:t>
      </w:r>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r>
      <w: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r>
      <w:r>
        <w:br/>
      </w:r>
      <w:r>
        <w:rPr>
          <w:b w:val="0"/>
          <w:i w:val="0"/>
        </w:rPr>
        <w:br/>
        <w:t xml:space="preserve">       THỦ TƯỚNG</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