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6875"/>
          <w:sz w:val="48"/>
        </w:rPr>
        <w:t>Loan, Risk, and Governance Framework</w:t>
      </w:r>
    </w:p>
    <w:p>
      <w:pPr>
        <w:jc w:val="center"/>
      </w:pPr>
      <w:r>
        <w:rPr>
          <w:color w:val="1F2937"/>
          <w:sz w:val="24"/>
        </w:rPr>
        <w:t>Digital Group Savings, Rotating Payouts, and Group-Backed Loans for Juba</w:t>
      </w:r>
    </w:p>
    <w:p>
      <w:pPr>
        <w:jc w:val="center"/>
      </w:pPr>
      <w:r>
        <w:rPr>
          <w:i/>
          <w:sz w:val="20"/>
        </w:rPr>
        <w:t>Version 1.0 | May 2, 2026</w:t>
      </w:r>
    </w:p>
    <w:p/>
    <w:p>
      <w:pPr>
        <w:pStyle w:val="Heading1"/>
        <w:keepNext/>
      </w:pPr>
      <w:r>
        <w:t>1. Purpose</w:t>
      </w:r>
    </w:p>
    <w:p>
      <w:r>
        <w:t>This framework defines how SawaSave should govern group loans, member eligibility, repayment, guarantors, defaults, disputes, and fraud prevention. The main principle is simple: the app should protect the group first while still allowing members to access emergency or short-term liquidity.</w:t>
      </w:r>
    </w:p>
    <w:p>
      <w:pPr>
        <w:pStyle w:val="Heading1"/>
        <w:keepNext/>
      </w:pPr>
      <w:r>
        <w:t>2. Core Loan Principles</w:t>
      </w:r>
    </w:p>
    <w:p>
      <w:pPr>
        <w:pStyle w:val="ListBullet"/>
      </w:pPr>
      <w:r>
        <w:t>No member can borrow more than their calculated entitlement or group-approved limit.</w:t>
      </w:r>
    </w:p>
    <w:p>
      <w:pPr>
        <w:pStyle w:val="ListBullet"/>
      </w:pPr>
      <w:r>
        <w:t>Loans are only available to active, verified, contributing members.</w:t>
      </w:r>
    </w:p>
    <w:p>
      <w:pPr>
        <w:pStyle w:val="ListBullet"/>
      </w:pPr>
      <w:r>
        <w:t>Borrowing must not endanger the next scheduled payout.</w:t>
      </w:r>
    </w:p>
    <w:p>
      <w:pPr>
        <w:pStyle w:val="ListBullet"/>
      </w:pPr>
      <w:r>
        <w:t>Loan terms must be clear in actual money amounts before acceptance.</w:t>
      </w:r>
    </w:p>
    <w:p>
      <w:pPr>
        <w:pStyle w:val="ListBullet"/>
      </w:pPr>
      <w:r>
        <w:t>A borrower cannot approve their own loan.</w:t>
      </w:r>
    </w:p>
    <w:p>
      <w:pPr>
        <w:pStyle w:val="ListBullet"/>
      </w:pPr>
      <w:r>
        <w:t>High-value loans require guarantors and stronger group approval.</w:t>
      </w:r>
    </w:p>
    <w:p>
      <w:pPr>
        <w:pStyle w:val="ListBullet"/>
      </w:pPr>
      <w:r>
        <w:t>Defaults should trigger automatic restrictions and recovery options.</w:t>
      </w:r>
    </w:p>
    <w:p>
      <w:pPr>
        <w:pStyle w:val="Heading1"/>
        <w:keepNext/>
      </w:pPr>
      <w:r>
        <w:t>3. Eligibility Conditions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Condition</w:t>
            </w:r>
          </w:p>
        </w:tc>
        <w:tc>
          <w:tcPr>
            <w:tcW w:type="dxa" w:w="5112"/>
            <w:vAlign w:val="top"/>
            <w:shd w:fill="1B6875"/>
          </w:tcPr>
          <w:p>
            <w:r>
              <w:rPr>
                <w:b/>
                <w:color w:val="FFFFFF"/>
                <w:sz w:val="18"/>
              </w:rPr>
            </w:r>
            <w:r>
              <w:rPr>
                <w:b/>
                <w:color w:val="FFFFFF"/>
                <w:sz w:val="18"/>
              </w:rPr>
              <w:t>Recommended MVP Rule</w:t>
            </w:r>
          </w:p>
        </w:tc>
      </w:tr>
      <w:tr>
        <w:trPr>
          <w:cantSplit/>
        </w:trPr>
        <w:tc>
          <w:tcPr>
            <w:tcW w:type="dxa" w:w="5112"/>
            <w:vAlign w:val="top"/>
          </w:tcPr>
          <w:p>
            <w:r>
              <w:rPr>
                <w:sz w:val="18"/>
              </w:rPr>
            </w:r>
            <w:r>
              <w:rPr>
                <w:b w:val="0"/>
                <w:sz w:val="18"/>
              </w:rPr>
              <w:t>Membership status</w:t>
            </w:r>
          </w:p>
        </w:tc>
        <w:tc>
          <w:tcPr>
            <w:tcW w:type="dxa" w:w="5112"/>
            <w:vAlign w:val="top"/>
          </w:tcPr>
          <w:p>
            <w:r>
              <w:rPr>
                <w:sz w:val="18"/>
              </w:rPr>
            </w:r>
            <w:r>
              <w:rPr>
                <w:b w:val="0"/>
                <w:sz w:val="18"/>
              </w:rPr>
              <w:t>Member must be active and accepted by the group.</w:t>
            </w:r>
          </w:p>
        </w:tc>
      </w:tr>
      <w:tr>
        <w:trPr>
          <w:cantSplit/>
        </w:trPr>
        <w:tc>
          <w:tcPr>
            <w:tcW w:type="dxa" w:w="5112"/>
            <w:vAlign w:val="top"/>
          </w:tcPr>
          <w:p>
            <w:r>
              <w:rPr>
                <w:sz w:val="18"/>
              </w:rPr>
            </w:r>
            <w:r>
              <w:rPr>
                <w:b w:val="0"/>
                <w:sz w:val="18"/>
              </w:rPr>
              <w:t>KYC/profile</w:t>
            </w:r>
          </w:p>
        </w:tc>
        <w:tc>
          <w:tcPr>
            <w:tcW w:type="dxa" w:w="5112"/>
            <w:vAlign w:val="top"/>
          </w:tcPr>
          <w:p>
            <w:r>
              <w:rPr>
                <w:sz w:val="18"/>
              </w:rPr>
            </w:r>
            <w:r>
              <w:rPr>
                <w:b w:val="0"/>
                <w:sz w:val="18"/>
              </w:rPr>
              <w:t>Member must have completed required profile fields and phone verification.</w:t>
            </w:r>
          </w:p>
        </w:tc>
      </w:tr>
      <w:tr>
        <w:trPr>
          <w:cantSplit/>
        </w:trPr>
        <w:tc>
          <w:tcPr>
            <w:tcW w:type="dxa" w:w="5112"/>
            <w:vAlign w:val="top"/>
          </w:tcPr>
          <w:p>
            <w:r>
              <w:rPr>
                <w:sz w:val="18"/>
              </w:rPr>
            </w:r>
            <w:r>
              <w:rPr>
                <w:b w:val="0"/>
                <w:sz w:val="18"/>
              </w:rPr>
              <w:t>Minimum contribution history</w:t>
            </w:r>
          </w:p>
        </w:tc>
        <w:tc>
          <w:tcPr>
            <w:tcW w:type="dxa" w:w="5112"/>
            <w:vAlign w:val="top"/>
          </w:tcPr>
          <w:p>
            <w:r>
              <w:rPr>
                <w:sz w:val="18"/>
              </w:rPr>
            </w:r>
            <w:r>
              <w:rPr>
                <w:b w:val="0"/>
                <w:sz w:val="18"/>
              </w:rPr>
              <w:t>At least 4 successful contribution periods or one full month, depending on group frequency.</w:t>
            </w:r>
          </w:p>
        </w:tc>
      </w:tr>
      <w:tr>
        <w:trPr>
          <w:cantSplit/>
        </w:trPr>
        <w:tc>
          <w:tcPr>
            <w:tcW w:type="dxa" w:w="5112"/>
            <w:vAlign w:val="top"/>
          </w:tcPr>
          <w:p>
            <w:r>
              <w:rPr>
                <w:sz w:val="18"/>
              </w:rPr>
            </w:r>
            <w:r>
              <w:rPr>
                <w:b w:val="0"/>
                <w:sz w:val="18"/>
              </w:rPr>
              <w:t>Contribution status</w:t>
            </w:r>
          </w:p>
        </w:tc>
        <w:tc>
          <w:tcPr>
            <w:tcW w:type="dxa" w:w="5112"/>
            <w:vAlign w:val="top"/>
          </w:tcPr>
          <w:p>
            <w:r>
              <w:rPr>
                <w:sz w:val="18"/>
              </w:rPr>
            </w:r>
            <w:r>
              <w:rPr>
                <w:b w:val="0"/>
                <w:sz w:val="18"/>
              </w:rPr>
              <w:t>No overdue contribution at time of request.</w:t>
            </w:r>
          </w:p>
        </w:tc>
      </w:tr>
      <w:tr>
        <w:trPr>
          <w:cantSplit/>
        </w:trPr>
        <w:tc>
          <w:tcPr>
            <w:tcW w:type="dxa" w:w="5112"/>
            <w:vAlign w:val="top"/>
          </w:tcPr>
          <w:p>
            <w:r>
              <w:rPr>
                <w:sz w:val="18"/>
              </w:rPr>
            </w:r>
            <w:r>
              <w:rPr>
                <w:b w:val="0"/>
                <w:sz w:val="18"/>
              </w:rPr>
              <w:t>Loan status</w:t>
            </w:r>
          </w:p>
        </w:tc>
        <w:tc>
          <w:tcPr>
            <w:tcW w:type="dxa" w:w="5112"/>
            <w:vAlign w:val="top"/>
          </w:tcPr>
          <w:p>
            <w:r>
              <w:rPr>
                <w:sz w:val="18"/>
              </w:rPr>
            </w:r>
            <w:r>
              <w:rPr>
                <w:b w:val="0"/>
                <w:sz w:val="18"/>
              </w:rPr>
              <w:t>No defaulted active loan. One active loan at a time in MVP.</w:t>
            </w:r>
          </w:p>
        </w:tc>
      </w:tr>
      <w:tr>
        <w:trPr>
          <w:cantSplit/>
        </w:trPr>
        <w:tc>
          <w:tcPr>
            <w:tcW w:type="dxa" w:w="5112"/>
            <w:vAlign w:val="top"/>
          </w:tcPr>
          <w:p>
            <w:r>
              <w:rPr>
                <w:sz w:val="18"/>
              </w:rPr>
            </w:r>
            <w:r>
              <w:rPr>
                <w:b w:val="0"/>
                <w:sz w:val="18"/>
              </w:rPr>
              <w:t>Dispute status</w:t>
            </w:r>
          </w:p>
        </w:tc>
        <w:tc>
          <w:tcPr>
            <w:tcW w:type="dxa" w:w="5112"/>
            <w:vAlign w:val="top"/>
          </w:tcPr>
          <w:p>
            <w:r>
              <w:rPr>
                <w:sz w:val="18"/>
              </w:rPr>
            </w:r>
            <w:r>
              <w:rPr>
                <w:b w:val="0"/>
                <w:sz w:val="18"/>
              </w:rPr>
              <w:t>No unresolved serious dispute or fraud flag.</w:t>
            </w:r>
          </w:p>
        </w:tc>
      </w:tr>
      <w:tr>
        <w:trPr>
          <w:cantSplit/>
        </w:trPr>
        <w:tc>
          <w:tcPr>
            <w:tcW w:type="dxa" w:w="5112"/>
            <w:vAlign w:val="top"/>
          </w:tcPr>
          <w:p>
            <w:r>
              <w:rPr>
                <w:sz w:val="18"/>
              </w:rPr>
            </w:r>
            <w:r>
              <w:rPr>
                <w:b w:val="0"/>
                <w:sz w:val="18"/>
              </w:rPr>
              <w:t>Payout impact</w:t>
            </w:r>
          </w:p>
        </w:tc>
        <w:tc>
          <w:tcPr>
            <w:tcW w:type="dxa" w:w="5112"/>
            <w:vAlign w:val="top"/>
          </w:tcPr>
          <w:p>
            <w:r>
              <w:rPr>
                <w:sz w:val="18"/>
              </w:rPr>
            </w:r>
            <w:r>
              <w:rPr>
                <w:b w:val="0"/>
                <w:sz w:val="18"/>
              </w:rPr>
              <w:t>Loan must not reduce available group balance below next payout reserve.</w:t>
            </w:r>
          </w:p>
        </w:tc>
      </w:tr>
      <w:tr>
        <w:trPr>
          <w:cantSplit/>
        </w:trPr>
        <w:tc>
          <w:tcPr>
            <w:tcW w:type="dxa" w:w="5112"/>
            <w:vAlign w:val="top"/>
          </w:tcPr>
          <w:p>
            <w:r>
              <w:rPr>
                <w:sz w:val="18"/>
              </w:rPr>
            </w:r>
            <w:r>
              <w:rPr>
                <w:b w:val="0"/>
                <w:sz w:val="18"/>
              </w:rPr>
              <w:t>Approval readiness</w:t>
            </w:r>
          </w:p>
        </w:tc>
        <w:tc>
          <w:tcPr>
            <w:tcW w:type="dxa" w:w="5112"/>
            <w:vAlign w:val="top"/>
          </w:tcPr>
          <w:p>
            <w:r>
              <w:rPr>
                <w:sz w:val="18"/>
              </w:rPr>
            </w:r>
            <w:r>
              <w:rPr>
                <w:b w:val="0"/>
                <w:sz w:val="18"/>
              </w:rPr>
              <w:t>Required approvers and guarantors must be available.</w:t>
            </w:r>
          </w:p>
        </w:tc>
      </w:tr>
    </w:tbl>
    <w:p/>
    <w:p>
      <w:pPr>
        <w:pStyle w:val="Heading1"/>
        <w:keepNext/>
      </w:pPr>
      <w:r>
        <w:t>4. Maximum Loan Formula</w:t>
      </w:r>
    </w:p>
    <w:tbl>
      <w:tblPr>
        <w:tblW w:type="auto" w:w="0"/>
        <w:tblLook w:firstColumn="1" w:firstRow="1" w:lastColumn="0" w:lastRow="0" w:noHBand="0" w:noVBand="1" w:val="04A0"/>
      </w:tblPr>
      <w:tblGrid>
        <w:gridCol w:w="10224"/>
      </w:tblGrid>
      <w:tr>
        <w:trPr>
          <w:cantSplit/>
        </w:trPr>
        <w:tc>
          <w:tcPr>
            <w:tcW w:type="dxa" w:w="10224"/>
            <w:shd w:fill="ECF6E8"/>
          </w:tcPr>
          <w:p>
            <w:r/>
            <w:r>
              <w:rPr>
                <w:b/>
                <w:color w:val="1B6875"/>
                <w:sz w:val="20"/>
              </w:rPr>
              <w:t>Recommended MVP Formula</w:t>
            </w:r>
          </w:p>
          <w:p>
            <w:r>
              <w:rPr>
                <w:sz w:val="18"/>
              </w:rPr>
              <w:t>Maximum loan = the lowest of: 50% of expected payout, available group wallet after locked obligations, group-defined maximum loan cap, and borrower-specific risk limit.</w:t>
            </w:r>
          </w:p>
        </w:tc>
      </w:tr>
    </w:tbl>
    <w:p/>
    <w:p>
      <w:r>
        <w:t>For later versions, the group can choose a more flexible limit, such as 70% of expected payout for members with strong repayment history. MVP should remain conservative.</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Factor</w:t>
            </w:r>
          </w:p>
        </w:tc>
        <w:tc>
          <w:tcPr>
            <w:tcW w:type="dxa" w:w="5112"/>
            <w:vAlign w:val="top"/>
            <w:shd w:fill="1B6875"/>
          </w:tcPr>
          <w:p>
            <w:r>
              <w:rPr>
                <w:b/>
                <w:color w:val="FFFFFF"/>
                <w:sz w:val="18"/>
              </w:rPr>
            </w:r>
            <w:r>
              <w:rPr>
                <w:b/>
                <w:color w:val="FFFFFF"/>
                <w:sz w:val="18"/>
              </w:rPr>
              <w:t>Example</w:t>
            </w:r>
          </w:p>
        </w:tc>
      </w:tr>
      <w:tr>
        <w:trPr>
          <w:cantSplit/>
        </w:trPr>
        <w:tc>
          <w:tcPr>
            <w:tcW w:type="dxa" w:w="5112"/>
            <w:vAlign w:val="top"/>
          </w:tcPr>
          <w:p>
            <w:r>
              <w:rPr>
                <w:sz w:val="18"/>
              </w:rPr>
            </w:r>
            <w:r>
              <w:rPr>
                <w:b w:val="0"/>
                <w:sz w:val="18"/>
              </w:rPr>
              <w:t>Expected payout</w:t>
            </w:r>
          </w:p>
        </w:tc>
        <w:tc>
          <w:tcPr>
            <w:tcW w:type="dxa" w:w="5112"/>
            <w:vAlign w:val="top"/>
          </w:tcPr>
          <w:p>
            <w:r>
              <w:rPr>
                <w:sz w:val="18"/>
              </w:rPr>
            </w:r>
            <w:r>
              <w:rPr>
                <w:b w:val="0"/>
                <w:sz w:val="18"/>
              </w:rPr>
              <w:t>SSP 2,000,000</w:t>
            </w:r>
          </w:p>
        </w:tc>
      </w:tr>
      <w:tr>
        <w:trPr>
          <w:cantSplit/>
        </w:trPr>
        <w:tc>
          <w:tcPr>
            <w:tcW w:type="dxa" w:w="5112"/>
            <w:vAlign w:val="top"/>
          </w:tcPr>
          <w:p>
            <w:r>
              <w:rPr>
                <w:sz w:val="18"/>
              </w:rPr>
            </w:r>
            <w:r>
              <w:rPr>
                <w:b w:val="0"/>
                <w:sz w:val="18"/>
              </w:rPr>
              <w:t>50% MVP loan cap</w:t>
            </w:r>
          </w:p>
        </w:tc>
        <w:tc>
          <w:tcPr>
            <w:tcW w:type="dxa" w:w="5112"/>
            <w:vAlign w:val="top"/>
          </w:tcPr>
          <w:p>
            <w:r>
              <w:rPr>
                <w:sz w:val="18"/>
              </w:rPr>
            </w:r>
            <w:r>
              <w:rPr>
                <w:b w:val="0"/>
                <w:sz w:val="18"/>
              </w:rPr>
              <w:t>SSP 1,000,000</w:t>
            </w:r>
          </w:p>
        </w:tc>
      </w:tr>
      <w:tr>
        <w:trPr>
          <w:cantSplit/>
        </w:trPr>
        <w:tc>
          <w:tcPr>
            <w:tcW w:type="dxa" w:w="5112"/>
            <w:vAlign w:val="top"/>
          </w:tcPr>
          <w:p>
            <w:r>
              <w:rPr>
                <w:sz w:val="18"/>
              </w:rPr>
            </w:r>
            <w:r>
              <w:rPr>
                <w:b w:val="0"/>
                <w:sz w:val="18"/>
              </w:rPr>
              <w:t>Available group balance after reserves</w:t>
            </w:r>
          </w:p>
        </w:tc>
        <w:tc>
          <w:tcPr>
            <w:tcW w:type="dxa" w:w="5112"/>
            <w:vAlign w:val="top"/>
          </w:tcPr>
          <w:p>
            <w:r>
              <w:rPr>
                <w:sz w:val="18"/>
              </w:rPr>
            </w:r>
            <w:r>
              <w:rPr>
                <w:b w:val="0"/>
                <w:sz w:val="18"/>
              </w:rPr>
              <w:t>SSP 800,000</w:t>
            </w:r>
          </w:p>
        </w:tc>
      </w:tr>
      <w:tr>
        <w:trPr>
          <w:cantSplit/>
        </w:trPr>
        <w:tc>
          <w:tcPr>
            <w:tcW w:type="dxa" w:w="5112"/>
            <w:vAlign w:val="top"/>
          </w:tcPr>
          <w:p>
            <w:r>
              <w:rPr>
                <w:sz w:val="18"/>
              </w:rPr>
            </w:r>
            <w:r>
              <w:rPr>
                <w:b w:val="0"/>
                <w:sz w:val="18"/>
              </w:rPr>
              <w:t>Group max loan cap</w:t>
            </w:r>
          </w:p>
        </w:tc>
        <w:tc>
          <w:tcPr>
            <w:tcW w:type="dxa" w:w="5112"/>
            <w:vAlign w:val="top"/>
          </w:tcPr>
          <w:p>
            <w:r>
              <w:rPr>
                <w:sz w:val="18"/>
              </w:rPr>
            </w:r>
            <w:r>
              <w:rPr>
                <w:b w:val="0"/>
                <w:sz w:val="18"/>
              </w:rPr>
              <w:t>SSP 700,000</w:t>
            </w:r>
          </w:p>
        </w:tc>
      </w:tr>
      <w:tr>
        <w:trPr>
          <w:cantSplit/>
        </w:trPr>
        <w:tc>
          <w:tcPr>
            <w:tcW w:type="dxa" w:w="5112"/>
            <w:vAlign w:val="top"/>
          </w:tcPr>
          <w:p>
            <w:r>
              <w:rPr>
                <w:sz w:val="18"/>
              </w:rPr>
            </w:r>
            <w:r>
              <w:rPr>
                <w:b w:val="0"/>
                <w:sz w:val="18"/>
              </w:rPr>
              <w:t>Calculated maximum loan</w:t>
            </w:r>
          </w:p>
        </w:tc>
        <w:tc>
          <w:tcPr>
            <w:tcW w:type="dxa" w:w="5112"/>
            <w:vAlign w:val="top"/>
          </w:tcPr>
          <w:p>
            <w:r>
              <w:rPr>
                <w:sz w:val="18"/>
              </w:rPr>
            </w:r>
            <w:r>
              <w:rPr>
                <w:b w:val="0"/>
                <w:sz w:val="18"/>
              </w:rPr>
              <w:t>SSP 700,000 because it is the lowest allowed limit</w:t>
            </w:r>
          </w:p>
        </w:tc>
      </w:tr>
    </w:tbl>
    <w:p/>
    <w:p>
      <w:pPr>
        <w:pStyle w:val="Heading1"/>
        <w:keepNext/>
      </w:pPr>
      <w:r>
        <w:t>5. Interest and Repayment</w:t>
      </w:r>
    </w:p>
    <w:p>
      <w:pPr>
        <w:pStyle w:val="ListBullet"/>
      </w:pPr>
      <w:r>
        <w:t>Interest rate is set by the group, for example 20% per agreed period.</w:t>
      </w:r>
    </w:p>
    <w:p>
      <w:pPr>
        <w:pStyle w:val="ListBullet"/>
      </w:pPr>
      <w:r>
        <w:t>The app must show the interest amount in SSP/USD before the borrower accepts.</w:t>
      </w:r>
    </w:p>
    <w:p>
      <w:pPr>
        <w:pStyle w:val="ListBullet"/>
      </w:pPr>
      <w:r>
        <w:t>The group must define whether interest is flat or reducing balance. MVP should use flat interest for simplicity.</w:t>
      </w:r>
    </w:p>
    <w:p>
      <w:pPr>
        <w:pStyle w:val="ListBullet"/>
      </w:pPr>
      <w:r>
        <w:t>Repayment period must have exact due dates.</w:t>
      </w:r>
    </w:p>
    <w:p>
      <w:pPr>
        <w:pStyle w:val="ListBullet"/>
      </w:pPr>
      <w:r>
        <w:t>Partial payments should be allowed only if the group permits them.</w:t>
      </w:r>
    </w:p>
    <w:p>
      <w:pPr>
        <w:pStyle w:val="ListBullet"/>
      </w:pPr>
      <w:r>
        <w:t>Loan repayment priority: penalties first, interest second, principal third, unless the group chooses otherwise.</w:t>
      </w:r>
    </w:p>
    <w:p>
      <w:pPr>
        <w:pStyle w:val="Heading1"/>
        <w:keepNext/>
      </w:pPr>
      <w:r>
        <w:t>6. Guarantor Rules</w:t>
      </w:r>
    </w:p>
    <w:p>
      <w:pPr>
        <w:pStyle w:val="ListBullet"/>
      </w:pPr>
      <w:r>
        <w:t>Require guarantors for loans above a threshold, for example above 25% of expected payout.</w:t>
      </w:r>
    </w:p>
    <w:p>
      <w:pPr>
        <w:pStyle w:val="ListBullet"/>
      </w:pPr>
      <w:r>
        <w:t>A guarantor must be an active member in good standing.</w:t>
      </w:r>
    </w:p>
    <w:p>
      <w:pPr>
        <w:pStyle w:val="ListBullet"/>
      </w:pPr>
      <w:r>
        <w:t>A guarantor cannot guarantee more than their available security limit.</w:t>
      </w:r>
    </w:p>
    <w:p>
      <w:pPr>
        <w:pStyle w:val="ListBullet"/>
      </w:pPr>
      <w:r>
        <w:t>Guarantor must approve with transaction PIN.</w:t>
      </w:r>
    </w:p>
    <w:p>
      <w:pPr>
        <w:pStyle w:val="ListBullet"/>
      </w:pPr>
      <w:r>
        <w:t>The app must show the exact guaranteed amount and consequences of default.</w:t>
      </w:r>
    </w:p>
    <w:p>
      <w:pPr>
        <w:pStyle w:val="ListBullet"/>
      </w:pPr>
      <w:r>
        <w:t>Borrower and guarantor relationship should be visible in the loan record.</w:t>
      </w:r>
    </w:p>
    <w:p>
      <w:r>
        <w:br w:type="page"/>
      </w:r>
    </w:p>
    <w:p>
      <w:pPr>
        <w:pStyle w:val="Heading1"/>
        <w:keepNext/>
      </w:pPr>
      <w:r>
        <w:t>7. Approval Matrix</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Loan Size</w:t>
            </w:r>
          </w:p>
        </w:tc>
        <w:tc>
          <w:tcPr>
            <w:tcW w:type="dxa" w:w="5112"/>
            <w:vAlign w:val="top"/>
            <w:shd w:fill="1B6875"/>
          </w:tcPr>
          <w:p>
            <w:r>
              <w:rPr>
                <w:b/>
                <w:color w:val="FFFFFF"/>
                <w:sz w:val="18"/>
              </w:rPr>
            </w:r>
            <w:r>
              <w:rPr>
                <w:b/>
                <w:color w:val="FFFFFF"/>
                <w:sz w:val="18"/>
              </w:rPr>
              <w:t>Recommended Approval</w:t>
            </w:r>
          </w:p>
        </w:tc>
      </w:tr>
      <w:tr>
        <w:trPr>
          <w:cantSplit/>
        </w:trPr>
        <w:tc>
          <w:tcPr>
            <w:tcW w:type="dxa" w:w="5112"/>
            <w:vAlign w:val="top"/>
          </w:tcPr>
          <w:p>
            <w:r>
              <w:rPr>
                <w:sz w:val="18"/>
              </w:rPr>
            </w:r>
            <w:r>
              <w:rPr>
                <w:b w:val="0"/>
                <w:sz w:val="18"/>
              </w:rPr>
              <w:t>Small loan: up to 20% of entitlement</w:t>
            </w:r>
          </w:p>
        </w:tc>
        <w:tc>
          <w:tcPr>
            <w:tcW w:type="dxa" w:w="5112"/>
            <w:vAlign w:val="top"/>
          </w:tcPr>
          <w:p>
            <w:r>
              <w:rPr>
                <w:sz w:val="18"/>
              </w:rPr>
            </w:r>
            <w:r>
              <w:rPr>
                <w:b w:val="0"/>
                <w:sz w:val="18"/>
              </w:rPr>
              <w:t>Treasurer + group admin approval.</w:t>
            </w:r>
          </w:p>
        </w:tc>
      </w:tr>
      <w:tr>
        <w:trPr>
          <w:cantSplit/>
        </w:trPr>
        <w:tc>
          <w:tcPr>
            <w:tcW w:type="dxa" w:w="5112"/>
            <w:vAlign w:val="top"/>
          </w:tcPr>
          <w:p>
            <w:r>
              <w:rPr>
                <w:sz w:val="18"/>
              </w:rPr>
            </w:r>
            <w:r>
              <w:rPr>
                <w:b w:val="0"/>
                <w:sz w:val="18"/>
              </w:rPr>
              <w:t>Medium loan: 21%-50% of entitlement</w:t>
            </w:r>
          </w:p>
        </w:tc>
        <w:tc>
          <w:tcPr>
            <w:tcW w:type="dxa" w:w="5112"/>
            <w:vAlign w:val="top"/>
          </w:tcPr>
          <w:p>
            <w:r>
              <w:rPr>
                <w:sz w:val="18"/>
              </w:rPr>
            </w:r>
            <w:r>
              <w:rPr>
                <w:b w:val="0"/>
                <w:sz w:val="18"/>
              </w:rPr>
              <w:t>Treasurer + group admin + one guarantor + 50% member vote.</w:t>
            </w:r>
          </w:p>
        </w:tc>
      </w:tr>
      <w:tr>
        <w:trPr>
          <w:cantSplit/>
        </w:trPr>
        <w:tc>
          <w:tcPr>
            <w:tcW w:type="dxa" w:w="5112"/>
            <w:vAlign w:val="top"/>
          </w:tcPr>
          <w:p>
            <w:r>
              <w:rPr>
                <w:sz w:val="18"/>
              </w:rPr>
            </w:r>
            <w:r>
              <w:rPr>
                <w:b w:val="0"/>
                <w:sz w:val="18"/>
              </w:rPr>
              <w:t>Large loan: above 50% of entitlement</w:t>
            </w:r>
          </w:p>
        </w:tc>
        <w:tc>
          <w:tcPr>
            <w:tcW w:type="dxa" w:w="5112"/>
            <w:vAlign w:val="top"/>
          </w:tcPr>
          <w:p>
            <w:r>
              <w:rPr>
                <w:sz w:val="18"/>
              </w:rPr>
            </w:r>
            <w:r>
              <w:rPr>
                <w:b w:val="0"/>
                <w:sz w:val="18"/>
              </w:rPr>
              <w:t>Not allowed in MVP. Later requires 70%-80% group approval and two guarantors.</w:t>
            </w:r>
          </w:p>
        </w:tc>
      </w:tr>
      <w:tr>
        <w:trPr>
          <w:cantSplit/>
        </w:trPr>
        <w:tc>
          <w:tcPr>
            <w:tcW w:type="dxa" w:w="5112"/>
            <w:vAlign w:val="top"/>
          </w:tcPr>
          <w:p>
            <w:r>
              <w:rPr>
                <w:sz w:val="18"/>
              </w:rPr>
            </w:r>
            <w:r>
              <w:rPr>
                <w:b w:val="0"/>
                <w:sz w:val="18"/>
              </w:rPr>
              <w:t>Emergency exception</w:t>
            </w:r>
          </w:p>
        </w:tc>
        <w:tc>
          <w:tcPr>
            <w:tcW w:type="dxa" w:w="5112"/>
            <w:vAlign w:val="top"/>
          </w:tcPr>
          <w:p>
            <w:r>
              <w:rPr>
                <w:sz w:val="18"/>
              </w:rPr>
            </w:r>
            <w:r>
              <w:rPr>
                <w:b w:val="0"/>
                <w:sz w:val="18"/>
              </w:rPr>
              <w:t>Requires admin + treasurer + secretary/auditor + group vote, with reason recorded.</w:t>
            </w:r>
          </w:p>
        </w:tc>
      </w:tr>
    </w:tbl>
    <w:p/>
    <w:p>
      <w:pPr>
        <w:pStyle w:val="Heading1"/>
        <w:keepNext/>
      </w:pPr>
      <w:r>
        <w:t>8. Wallet Security and Locks</w:t>
      </w:r>
    </w:p>
    <w:p>
      <w:r>
        <w:t>A member personal wallet can be used as loan security, but the app should treat this as an internal pledge or ledger lock during the MVP. The real money is still held by the group account. Security locks reduce what the member can withdraw or receive without deduction.</w:t>
      </w:r>
    </w:p>
    <w:p>
      <w:pPr>
        <w:pStyle w:val="ListBullet"/>
      </w:pPr>
      <w:r>
        <w:t>Lock part of borrower entitlement after loan approval.</w:t>
      </w:r>
    </w:p>
    <w:p>
      <w:pPr>
        <w:pStyle w:val="ListBullet"/>
      </w:pPr>
      <w:r>
        <w:t>Show locked amount separately from available personal balance.</w:t>
      </w:r>
    </w:p>
    <w:p>
      <w:pPr>
        <w:pStyle w:val="ListBullet"/>
      </w:pPr>
      <w:r>
        <w:t>Prevent the borrower from receiving full payout without deducting outstanding loan amounts.</w:t>
      </w:r>
    </w:p>
    <w:p>
      <w:pPr>
        <w:pStyle w:val="ListBullet"/>
      </w:pPr>
      <w:r>
        <w:t>If guarantor is activated, lock guarantor exposure after default workflow begins.</w:t>
      </w:r>
    </w:p>
    <w:p>
      <w:pPr>
        <w:pStyle w:val="ListBullet"/>
      </w:pPr>
      <w:r>
        <w:t>Allow release of locked security after loan is fully repaid.</w:t>
      </w:r>
    </w:p>
    <w:p>
      <w:pPr>
        <w:pStyle w:val="Heading1"/>
        <w:keepNext/>
      </w:pPr>
      <w:r>
        <w:t>9. Default Workflow</w:t>
      </w:r>
    </w:p>
    <w:p>
      <w:pPr>
        <w:pStyle w:val="ListNumber"/>
      </w:pPr>
      <w:r>
        <w:t>Due date passes and borrower receives reminder.</w:t>
      </w:r>
    </w:p>
    <w:p>
      <w:pPr>
        <w:pStyle w:val="ListNumber"/>
      </w:pPr>
      <w:r>
        <w:t>Grace period begins, for example 3 to 7 days depending on group rules.</w:t>
      </w:r>
    </w:p>
    <w:p>
      <w:pPr>
        <w:pStyle w:val="ListNumber"/>
      </w:pPr>
      <w:r>
        <w:t>Late penalty applies after grace period.</w:t>
      </w:r>
    </w:p>
    <w:p>
      <w:pPr>
        <w:pStyle w:val="ListNumber"/>
      </w:pPr>
      <w:r>
        <w:t>Borrower is blocked from new loans immediately.</w:t>
      </w:r>
    </w:p>
    <w:p>
      <w:pPr>
        <w:pStyle w:val="ListNumber"/>
      </w:pPr>
      <w:r>
        <w:t>Borrower payout entitlement is marked for deduction.</w:t>
      </w:r>
    </w:p>
    <w:p>
      <w:pPr>
        <w:pStyle w:val="ListNumber"/>
      </w:pPr>
      <w:r>
        <w:t>Guarantors are notified if default continues.</w:t>
      </w:r>
    </w:p>
    <w:p>
      <w:pPr>
        <w:pStyle w:val="ListNumber"/>
      </w:pPr>
      <w:r>
        <w:t>Group admin opens recovery action if default exceeds threshold.</w:t>
      </w:r>
    </w:p>
    <w:p>
      <w:pPr>
        <w:pStyle w:val="ListNumber"/>
      </w:pPr>
      <w:r>
        <w:t>Recovery may deduct from future payout, locked balance, or guarantor exposure according to accepted group rules.</w:t>
      </w:r>
    </w:p>
    <w:p>
      <w:pPr>
        <w:pStyle w:val="Heading1"/>
        <w:keepNext/>
      </w:pPr>
      <w:r>
        <w:t>10. Fraud and Abuse Controls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Abuse Scenario</w:t>
            </w:r>
          </w:p>
        </w:tc>
        <w:tc>
          <w:tcPr>
            <w:tcW w:type="dxa" w:w="5112"/>
            <w:vAlign w:val="top"/>
            <w:shd w:fill="1B6875"/>
          </w:tcPr>
          <w:p>
            <w:r>
              <w:rPr>
                <w:b/>
                <w:color w:val="FFFFFF"/>
                <w:sz w:val="18"/>
              </w:rPr>
            </w:r>
            <w:r>
              <w:rPr>
                <w:b/>
                <w:color w:val="FFFFFF"/>
                <w:sz w:val="18"/>
              </w:rPr>
              <w:t>Control</w:t>
            </w:r>
          </w:p>
        </w:tc>
      </w:tr>
      <w:tr>
        <w:trPr>
          <w:cantSplit/>
        </w:trPr>
        <w:tc>
          <w:tcPr>
            <w:tcW w:type="dxa" w:w="5112"/>
            <w:vAlign w:val="top"/>
          </w:tcPr>
          <w:p>
            <w:r>
              <w:rPr>
                <w:sz w:val="18"/>
              </w:rPr>
            </w:r>
            <w:r>
              <w:rPr>
                <w:b w:val="0"/>
                <w:sz w:val="18"/>
              </w:rPr>
              <w:t>Fake payment proof</w:t>
            </w:r>
          </w:p>
        </w:tc>
        <w:tc>
          <w:tcPr>
            <w:tcW w:type="dxa" w:w="5112"/>
            <w:vAlign w:val="top"/>
          </w:tcPr>
          <w:p>
            <w:r>
              <w:rPr>
                <w:sz w:val="18"/>
              </w:rPr>
            </w:r>
            <w:r>
              <w:rPr>
                <w:b w:val="0"/>
                <w:sz w:val="18"/>
              </w:rPr>
              <w:t>Duplicate reference checks, treasurer confirmation, attachment review, later API verification.</w:t>
            </w:r>
          </w:p>
        </w:tc>
      </w:tr>
      <w:tr>
        <w:trPr>
          <w:cantSplit/>
        </w:trPr>
        <w:tc>
          <w:tcPr>
            <w:tcW w:type="dxa" w:w="5112"/>
            <w:vAlign w:val="top"/>
          </w:tcPr>
          <w:p>
            <w:r>
              <w:rPr>
                <w:sz w:val="18"/>
              </w:rPr>
            </w:r>
            <w:r>
              <w:rPr>
                <w:b w:val="0"/>
                <w:sz w:val="18"/>
              </w:rPr>
              <w:t>Admin secretly changes rules</w:t>
            </w:r>
          </w:p>
        </w:tc>
        <w:tc>
          <w:tcPr>
            <w:tcW w:type="dxa" w:w="5112"/>
            <w:vAlign w:val="top"/>
          </w:tcPr>
          <w:p>
            <w:r>
              <w:rPr>
                <w:sz w:val="18"/>
              </w:rPr>
            </w:r>
            <w:r>
              <w:rPr>
                <w:b w:val="0"/>
                <w:sz w:val="18"/>
              </w:rPr>
              <w:t>Rule versioning and member approval workflow.</w:t>
            </w:r>
          </w:p>
        </w:tc>
      </w:tr>
      <w:tr>
        <w:trPr>
          <w:cantSplit/>
        </w:trPr>
        <w:tc>
          <w:tcPr>
            <w:tcW w:type="dxa" w:w="5112"/>
            <w:vAlign w:val="top"/>
          </w:tcPr>
          <w:p>
            <w:r>
              <w:rPr>
                <w:sz w:val="18"/>
              </w:rPr>
            </w:r>
            <w:r>
              <w:rPr>
                <w:b w:val="0"/>
                <w:sz w:val="18"/>
              </w:rPr>
              <w:t>Borrower and approver collusion</w:t>
            </w:r>
          </w:p>
        </w:tc>
        <w:tc>
          <w:tcPr>
            <w:tcW w:type="dxa" w:w="5112"/>
            <w:vAlign w:val="top"/>
          </w:tcPr>
          <w:p>
            <w:r>
              <w:rPr>
                <w:sz w:val="18"/>
              </w:rPr>
            </w:r>
            <w:r>
              <w:rPr>
                <w:b w:val="0"/>
                <w:sz w:val="18"/>
              </w:rPr>
              <w:t>Borrower cannot approve own loan; multi-role approval; audit logs.</w:t>
            </w:r>
          </w:p>
        </w:tc>
      </w:tr>
      <w:tr>
        <w:trPr>
          <w:cantSplit/>
        </w:trPr>
        <w:tc>
          <w:tcPr>
            <w:tcW w:type="dxa" w:w="5112"/>
            <w:vAlign w:val="top"/>
          </w:tcPr>
          <w:p>
            <w:r>
              <w:rPr>
                <w:sz w:val="18"/>
              </w:rPr>
            </w:r>
            <w:r>
              <w:rPr>
                <w:b w:val="0"/>
                <w:sz w:val="18"/>
              </w:rPr>
              <w:t>Multiple loans across groups</w:t>
            </w:r>
          </w:p>
        </w:tc>
        <w:tc>
          <w:tcPr>
            <w:tcW w:type="dxa" w:w="5112"/>
            <w:vAlign w:val="top"/>
          </w:tcPr>
          <w:p>
            <w:r>
              <w:rPr>
                <w:sz w:val="18"/>
              </w:rPr>
            </w:r>
            <w:r>
              <w:rPr>
                <w:b w:val="0"/>
                <w:sz w:val="18"/>
              </w:rPr>
              <w:t>Platform-level exposure view if user belongs to multiple groups.</w:t>
            </w:r>
          </w:p>
        </w:tc>
      </w:tr>
      <w:tr>
        <w:trPr>
          <w:cantSplit/>
        </w:trPr>
        <w:tc>
          <w:tcPr>
            <w:tcW w:type="dxa" w:w="5112"/>
            <w:vAlign w:val="top"/>
          </w:tcPr>
          <w:p>
            <w:r>
              <w:rPr>
                <w:sz w:val="18"/>
              </w:rPr>
            </w:r>
            <w:r>
              <w:rPr>
                <w:b w:val="0"/>
                <w:sz w:val="18"/>
              </w:rPr>
              <w:t>Guarantor confusion</w:t>
            </w:r>
          </w:p>
        </w:tc>
        <w:tc>
          <w:tcPr>
            <w:tcW w:type="dxa" w:w="5112"/>
            <w:vAlign w:val="top"/>
          </w:tcPr>
          <w:p>
            <w:r>
              <w:rPr>
                <w:sz w:val="18"/>
              </w:rPr>
            </w:r>
            <w:r>
              <w:rPr>
                <w:b w:val="0"/>
                <w:sz w:val="18"/>
              </w:rPr>
              <w:t>Explicit guarantee acceptance screen showing amount and consequences.</w:t>
            </w:r>
          </w:p>
        </w:tc>
      </w:tr>
      <w:tr>
        <w:trPr>
          <w:cantSplit/>
        </w:trPr>
        <w:tc>
          <w:tcPr>
            <w:tcW w:type="dxa" w:w="5112"/>
            <w:vAlign w:val="top"/>
          </w:tcPr>
          <w:p>
            <w:r>
              <w:rPr>
                <w:sz w:val="18"/>
              </w:rPr>
            </w:r>
            <w:r>
              <w:rPr>
                <w:b w:val="0"/>
                <w:sz w:val="18"/>
              </w:rPr>
              <w:t>Balance manipulation</w:t>
            </w:r>
          </w:p>
        </w:tc>
        <w:tc>
          <w:tcPr>
            <w:tcW w:type="dxa" w:w="5112"/>
            <w:vAlign w:val="top"/>
          </w:tcPr>
          <w:p>
            <w:r>
              <w:rPr>
                <w:sz w:val="18"/>
              </w:rPr>
            </w:r>
            <w:r>
              <w:rPr>
                <w:b w:val="0"/>
                <w:sz w:val="18"/>
              </w:rPr>
              <w:t>Immutable ledger; corrections only through reversal and approved adjustment.</w:t>
            </w:r>
          </w:p>
        </w:tc>
      </w:tr>
    </w:tbl>
    <w:p/>
    <w:p>
      <w:pPr>
        <w:pStyle w:val="Heading1"/>
        <w:keepNext/>
      </w:pPr>
      <w:r>
        <w:t>11. Member Risk Score</w:t>
      </w:r>
    </w:p>
    <w:p>
      <w:r>
        <w:t>The MVP can use a simple rule-based score rather than AI. The score should help approvers decide but should not secretly override group rules.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Score Factor</w:t>
            </w:r>
          </w:p>
        </w:tc>
        <w:tc>
          <w:tcPr>
            <w:tcW w:type="dxa" w:w="3408"/>
            <w:vAlign w:val="top"/>
            <w:shd w:fill="1B6875"/>
          </w:tcPr>
          <w:p>
            <w:r>
              <w:rPr>
                <w:b/>
                <w:color w:val="FFFFFF"/>
                <w:sz w:val="18"/>
              </w:rPr>
            </w:r>
            <w:r>
              <w:rPr>
                <w:b/>
                <w:color w:val="FFFFFF"/>
                <w:sz w:val="18"/>
              </w:rPr>
              <w:t>Positive Signal</w:t>
            </w:r>
          </w:p>
        </w:tc>
        <w:tc>
          <w:tcPr>
            <w:tcW w:type="dxa" w:w="3408"/>
            <w:vAlign w:val="top"/>
            <w:shd w:fill="1B6875"/>
          </w:tcPr>
          <w:p>
            <w:r>
              <w:rPr>
                <w:b/>
                <w:color w:val="FFFFFF"/>
                <w:sz w:val="18"/>
              </w:rPr>
            </w:r>
            <w:r>
              <w:rPr>
                <w:b/>
                <w:color w:val="FFFFFF"/>
                <w:sz w:val="18"/>
              </w:rPr>
              <w:t>Negative Signal</w:t>
            </w:r>
          </w:p>
        </w:tc>
      </w:tr>
      <w:tr>
        <w:trPr>
          <w:cantSplit/>
        </w:trPr>
        <w:tc>
          <w:tcPr>
            <w:tcW w:type="dxa" w:w="3408"/>
            <w:vAlign w:val="top"/>
          </w:tcPr>
          <w:p>
            <w:r>
              <w:rPr>
                <w:sz w:val="18"/>
              </w:rPr>
            </w:r>
            <w:r>
              <w:rPr>
                <w:b w:val="0"/>
                <w:sz w:val="18"/>
              </w:rPr>
              <w:t>Contribution history</w:t>
            </w:r>
          </w:p>
        </w:tc>
        <w:tc>
          <w:tcPr>
            <w:tcW w:type="dxa" w:w="3408"/>
            <w:vAlign w:val="top"/>
          </w:tcPr>
          <w:p>
            <w:r>
              <w:rPr>
                <w:sz w:val="18"/>
              </w:rPr>
            </w:r>
            <w:r>
              <w:rPr>
                <w:b w:val="0"/>
                <w:sz w:val="18"/>
              </w:rPr>
              <w:t>Always pays on time</w:t>
            </w:r>
          </w:p>
        </w:tc>
        <w:tc>
          <w:tcPr>
            <w:tcW w:type="dxa" w:w="3408"/>
            <w:vAlign w:val="top"/>
          </w:tcPr>
          <w:p>
            <w:r>
              <w:rPr>
                <w:sz w:val="18"/>
              </w:rPr>
            </w:r>
            <w:r>
              <w:rPr>
                <w:b w:val="0"/>
                <w:sz w:val="18"/>
              </w:rPr>
              <w:t>Repeated late/missed contributions</w:t>
            </w:r>
          </w:p>
        </w:tc>
      </w:tr>
      <w:tr>
        <w:trPr>
          <w:cantSplit/>
        </w:trPr>
        <w:tc>
          <w:tcPr>
            <w:tcW w:type="dxa" w:w="3408"/>
            <w:vAlign w:val="top"/>
          </w:tcPr>
          <w:p>
            <w:r>
              <w:rPr>
                <w:sz w:val="18"/>
              </w:rPr>
            </w:r>
            <w:r>
              <w:rPr>
                <w:b w:val="0"/>
                <w:sz w:val="18"/>
              </w:rPr>
              <w:t>Loan history</w:t>
            </w:r>
          </w:p>
        </w:tc>
        <w:tc>
          <w:tcPr>
            <w:tcW w:type="dxa" w:w="3408"/>
            <w:vAlign w:val="top"/>
          </w:tcPr>
          <w:p>
            <w:r>
              <w:rPr>
                <w:sz w:val="18"/>
              </w:rPr>
            </w:r>
            <w:r>
              <w:rPr>
                <w:b w:val="0"/>
                <w:sz w:val="18"/>
              </w:rPr>
              <w:t>Fully repaid previous loans</w:t>
            </w:r>
          </w:p>
        </w:tc>
        <w:tc>
          <w:tcPr>
            <w:tcW w:type="dxa" w:w="3408"/>
            <w:vAlign w:val="top"/>
          </w:tcPr>
          <w:p>
            <w:r>
              <w:rPr>
                <w:sz w:val="18"/>
              </w:rPr>
            </w:r>
            <w:r>
              <w:rPr>
                <w:b w:val="0"/>
                <w:sz w:val="18"/>
              </w:rPr>
              <w:t>Overdue/defaulted loans</w:t>
            </w:r>
          </w:p>
        </w:tc>
      </w:tr>
      <w:tr>
        <w:trPr>
          <w:cantSplit/>
        </w:trPr>
        <w:tc>
          <w:tcPr>
            <w:tcW w:type="dxa" w:w="3408"/>
            <w:vAlign w:val="top"/>
          </w:tcPr>
          <w:p>
            <w:r>
              <w:rPr>
                <w:sz w:val="18"/>
              </w:rPr>
            </w:r>
            <w:r>
              <w:rPr>
                <w:b w:val="0"/>
                <w:sz w:val="18"/>
              </w:rPr>
              <w:t>Group tenure</w:t>
            </w:r>
          </w:p>
        </w:tc>
        <w:tc>
          <w:tcPr>
            <w:tcW w:type="dxa" w:w="3408"/>
            <w:vAlign w:val="top"/>
          </w:tcPr>
          <w:p>
            <w:r>
              <w:rPr>
                <w:sz w:val="18"/>
              </w:rPr>
            </w:r>
            <w:r>
              <w:rPr>
                <w:b w:val="0"/>
                <w:sz w:val="18"/>
              </w:rPr>
              <w:t>Long-standing active member</w:t>
            </w:r>
          </w:p>
        </w:tc>
        <w:tc>
          <w:tcPr>
            <w:tcW w:type="dxa" w:w="3408"/>
            <w:vAlign w:val="top"/>
          </w:tcPr>
          <w:p>
            <w:r>
              <w:rPr>
                <w:sz w:val="18"/>
              </w:rPr>
            </w:r>
            <w:r>
              <w:rPr>
                <w:b w:val="0"/>
                <w:sz w:val="18"/>
              </w:rPr>
              <w:t>New member with no history</w:t>
            </w:r>
          </w:p>
        </w:tc>
      </w:tr>
      <w:tr>
        <w:trPr>
          <w:cantSplit/>
        </w:trPr>
        <w:tc>
          <w:tcPr>
            <w:tcW w:type="dxa" w:w="3408"/>
            <w:vAlign w:val="top"/>
          </w:tcPr>
          <w:p>
            <w:r>
              <w:rPr>
                <w:sz w:val="18"/>
              </w:rPr>
            </w:r>
            <w:r>
              <w:rPr>
                <w:b w:val="0"/>
                <w:sz w:val="18"/>
              </w:rPr>
              <w:t>Disputes</w:t>
            </w:r>
          </w:p>
        </w:tc>
        <w:tc>
          <w:tcPr>
            <w:tcW w:type="dxa" w:w="3408"/>
            <w:vAlign w:val="top"/>
          </w:tcPr>
          <w:p>
            <w:r>
              <w:rPr>
                <w:sz w:val="18"/>
              </w:rPr>
            </w:r>
            <w:r>
              <w:rPr>
                <w:b w:val="0"/>
                <w:sz w:val="18"/>
              </w:rPr>
              <w:t>No disputes</w:t>
            </w:r>
          </w:p>
        </w:tc>
        <w:tc>
          <w:tcPr>
            <w:tcW w:type="dxa" w:w="3408"/>
            <w:vAlign w:val="top"/>
          </w:tcPr>
          <w:p>
            <w:r>
              <w:rPr>
                <w:sz w:val="18"/>
              </w:rPr>
            </w:r>
            <w:r>
              <w:rPr>
                <w:b w:val="0"/>
                <w:sz w:val="18"/>
              </w:rPr>
              <w:t>Open fraud or payment dispute</w:t>
            </w:r>
          </w:p>
        </w:tc>
      </w:tr>
      <w:tr>
        <w:trPr>
          <w:cantSplit/>
        </w:trPr>
        <w:tc>
          <w:tcPr>
            <w:tcW w:type="dxa" w:w="3408"/>
            <w:vAlign w:val="top"/>
          </w:tcPr>
          <w:p>
            <w:r>
              <w:rPr>
                <w:sz w:val="18"/>
              </w:rPr>
            </w:r>
            <w:r>
              <w:rPr>
                <w:b w:val="0"/>
                <w:sz w:val="18"/>
              </w:rPr>
              <w:t>Guarantor exposure</w:t>
            </w:r>
          </w:p>
        </w:tc>
        <w:tc>
          <w:tcPr>
            <w:tcW w:type="dxa" w:w="3408"/>
            <w:vAlign w:val="top"/>
          </w:tcPr>
          <w:p>
            <w:r>
              <w:rPr>
                <w:sz w:val="18"/>
              </w:rPr>
            </w:r>
            <w:r>
              <w:rPr>
                <w:b w:val="0"/>
                <w:sz w:val="18"/>
              </w:rPr>
              <w:t>Low exposure</w:t>
            </w:r>
          </w:p>
        </w:tc>
        <w:tc>
          <w:tcPr>
            <w:tcW w:type="dxa" w:w="3408"/>
            <w:vAlign w:val="top"/>
          </w:tcPr>
          <w:p>
            <w:r>
              <w:rPr>
                <w:sz w:val="18"/>
              </w:rPr>
            </w:r>
            <w:r>
              <w:rPr>
                <w:b w:val="0"/>
                <w:sz w:val="18"/>
              </w:rPr>
              <w:t>Already guaranteeing many loans</w:t>
            </w:r>
          </w:p>
        </w:tc>
      </w:tr>
    </w:tbl>
    <w:p/>
    <w:p>
      <w:pPr>
        <w:pStyle w:val="Heading1"/>
        <w:keepNext/>
      </w:pPr>
      <w:r>
        <w:t>12. Governance Rules</w:t>
      </w:r>
    </w:p>
    <w:p>
      <w:pPr>
        <w:pStyle w:val="ListBullet"/>
      </w:pPr>
      <w:r>
        <w:t>A group should have at least three governance roles: admin/chairperson, treasurer, and secretary/auditor.</w:t>
      </w:r>
    </w:p>
    <w:p>
      <w:pPr>
        <w:pStyle w:val="ListBullet"/>
      </w:pPr>
      <w:r>
        <w:t>No single user should confirm their own payment proof.</w:t>
      </w:r>
    </w:p>
    <w:p>
      <w:pPr>
        <w:pStyle w:val="ListBullet"/>
      </w:pPr>
      <w:r>
        <w:t>No single user should release payout alone.</w:t>
      </w:r>
    </w:p>
    <w:p>
      <w:pPr>
        <w:pStyle w:val="ListBullet"/>
      </w:pPr>
      <w:r>
        <w:t>Critical rule changes require member approval.</w:t>
      </w:r>
    </w:p>
    <w:p>
      <w:pPr>
        <w:pStyle w:val="ListBullet"/>
      </w:pPr>
      <w:r>
        <w:t>Every group should accept a digital constitution before activation.</w:t>
      </w:r>
    </w:p>
    <w:p>
      <w:pPr>
        <w:pStyle w:val="ListBullet"/>
      </w:pPr>
      <w:r>
        <w:t>The app should keep archived records even if a member leaves.</w:t>
      </w:r>
    </w:p>
    <w:p>
      <w:pPr>
        <w:pStyle w:val="Heading1"/>
        <w:keepNext/>
      </w:pPr>
      <w:r>
        <w:t>Reference Notes and Sources</w:t>
      </w:r>
    </w:p>
    <w:p>
      <w:r>
        <w:t>These references were used only to shape the regulatory and market context. This document is not legal advice. Before handling real funds, consult a South Sudan-qualified legal adviser and engage the Bank of South Sudan or a licensed financial institution.</w:t>
      </w:r>
    </w:p>
    <w:p>
      <w:pPr>
        <w:pStyle w:val="ListBullet"/>
      </w:pPr>
      <w:r>
        <w:t>Bank of South Sudan - National Payment System overview: https://boss.gov.ss/national-payment-system/</w:t>
      </w:r>
    </w:p>
    <w:p>
      <w:pPr>
        <w:pStyle w:val="ListBullet"/>
      </w:pPr>
      <w:r>
        <w:t>Bank of South Sudan - acceptance of mobile money as legal tender/public notice, 2025: https://boss.gov.ss/wp-content/uploads/2025/07/legal.pdf</w:t>
      </w:r>
    </w:p>
    <w:p>
      <w:pPr>
        <w:pStyle w:val="ListBullet"/>
      </w:pPr>
      <w:r>
        <w:t>Bank of South Sudan - functions as operator and regulator of the NPS; e-money licensing/trust account references, 2025: https://boss.gov.ss/wp-content/uploads/2025/09/functions-of-the-bank-of-south-Sudan-as-operator-and-Regulator-of-the-NPS-in-South-sudan_0001.pdf</w:t>
      </w:r>
    </w:p>
    <w:p>
      <w:pPr>
        <w:pStyle w:val="ListBullet"/>
      </w:pPr>
      <w:r>
        <w:t>UNDP South Sudan - Digital Mobile Wallet Usage as an Enabler for Financial Inclusion, 2025: https://www.undp.org/south-sudan/publications/digital-mobile-wallet-usage-enabler-financial-inclusion-undp-south-sudan-report</w:t>
      </w:r>
    </w:p>
    <w:p>
      <w:pPr>
        <w:pStyle w:val="ListBullet"/>
      </w:pPr>
      <w:r>
        <w:t>UNCDF - South Sudan Policy Diagnostic Report, 2023: https://migrantmoney.uncdf.org/wp-content/uploads/2023/11/South-Sudan-Diagnostic-Report.pdf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planning document | May 2, 2026 | Prepared for Juba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B6875"/>
        <w:sz w:val="16"/>
      </w:rPr>
      <w:t>SawaSave | Loan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A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68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