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6875"/>
          <w:sz w:val="48"/>
        </w:rPr>
        <w:t>MVP Roadmap and Juba Pilot Plan</w:t>
      </w:r>
    </w:p>
    <w:p>
      <w:pPr>
        <w:jc w:val="center"/>
      </w:pPr>
      <w:r>
        <w:rPr>
          <w:color w:val="1F2937"/>
          <w:sz w:val="24"/>
        </w:rPr>
        <w:t>Digital Group Savings, Rotating Payouts, and Group-Backed Loans for Juba</w:t>
      </w:r>
    </w:p>
    <w:p>
      <w:pPr>
        <w:jc w:val="center"/>
      </w:pPr>
      <w:r>
        <w:rPr>
          <w:i/>
          <w:sz w:val="20"/>
        </w:rPr>
        <w:t>Version 1.0 | May 2, 2026</w:t>
      </w:r>
    </w:p>
    <w:p/>
    <w:p>
      <w:pPr>
        <w:pStyle w:val="Heading1"/>
        <w:keepNext/>
      </w:pPr>
      <w:r>
        <w:t>1. Roadmap Philosophy</w:t>
      </w:r>
    </w:p>
    <w:p>
      <w:r>
        <w:t>The product should be built in a practical sequence. Start by proving that groups will trust the app for records, rules, contributions, loans, and payouts. Do not begin by holding real funds or promising automatic payment integrations before provider partnerships exist.</w:t>
      </w:r>
    </w:p>
    <w:p>
      <w:pPr>
        <w:pStyle w:val="Heading1"/>
        <w:keepNext/>
      </w:pPr>
      <w:r>
        <w:t>2. MVP Scope</w:t>
      </w:r>
    </w:p>
    <w:p>
      <w:pPr>
        <w:pStyle w:val="ListBullet"/>
      </w:pPr>
      <w:r>
        <w:t>Mobile app for members, admins, and treasurers.</w:t>
      </w:r>
    </w:p>
    <w:p>
      <w:pPr>
        <w:pStyle w:val="ListBullet"/>
      </w:pPr>
      <w:r>
        <w:t>Group creation and digital constitution.</w:t>
      </w:r>
    </w:p>
    <w:p>
      <w:pPr>
        <w:pStyle w:val="ListBullet"/>
      </w:pPr>
      <w:r>
        <w:t>Member invites and role assignment.</w:t>
      </w:r>
    </w:p>
    <w:p>
      <w:pPr>
        <w:pStyle w:val="ListBullet"/>
      </w:pPr>
      <w:r>
        <w:t>Contribution schedule and manual payment proof upload.</w:t>
      </w:r>
    </w:p>
    <w:p>
      <w:pPr>
        <w:pStyle w:val="ListBullet"/>
      </w:pPr>
      <w:r>
        <w:t>Treasurer confirmation and ledger posting.</w:t>
      </w:r>
    </w:p>
    <w:p>
      <w:pPr>
        <w:pStyle w:val="ListBullet"/>
      </w:pPr>
      <w:r>
        <w:t>Group wallet and individual wallet ledger views.</w:t>
      </w:r>
    </w:p>
    <w:p>
      <w:pPr>
        <w:pStyle w:val="ListBullet"/>
      </w:pPr>
      <w:r>
        <w:t>Fixed payout order and payout receipts.</w:t>
      </w:r>
    </w:p>
    <w:p>
      <w:pPr>
        <w:pStyle w:val="ListBullet"/>
      </w:pPr>
      <w:r>
        <w:t>Loan request, eligibility checks, approvals, guarantors, repayments, and penalties.</w:t>
      </w:r>
    </w:p>
    <w:p>
      <w:pPr>
        <w:pStyle w:val="ListBullet"/>
      </w:pPr>
      <w:r>
        <w:t>Basic reporting and export.</w:t>
      </w:r>
    </w:p>
    <w:p>
      <w:pPr>
        <w:pStyle w:val="ListBullet"/>
      </w:pPr>
      <w:r>
        <w:t>Platform admin tools for support and audit review.</w:t>
      </w:r>
    </w:p>
    <w:p>
      <w:pPr>
        <w:pStyle w:val="Heading1"/>
        <w:keepNext/>
      </w:pPr>
      <w:r>
        <w:t>3. Build Phases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shd w:fill="1B6875"/>
          </w:tcPr>
          <w:p>
            <w:r>
              <w:rPr>
                <w:b/>
                <w:color w:val="FFFFFF"/>
                <w:sz w:val="18"/>
              </w:rPr>
            </w:r>
            <w:r>
              <w:rPr>
                <w:b/>
                <w:color w:val="FFFFFF"/>
                <w:sz w:val="18"/>
              </w:rPr>
              <w:t>Phase</w:t>
            </w:r>
          </w:p>
        </w:tc>
        <w:tc>
          <w:tcPr>
            <w:tcW w:type="dxa" w:w="3408"/>
            <w:vAlign w:val="top"/>
            <w:shd w:fill="1B6875"/>
          </w:tcPr>
          <w:p>
            <w:r>
              <w:rPr>
                <w:b/>
                <w:color w:val="FFFFFF"/>
                <w:sz w:val="18"/>
              </w:rPr>
            </w:r>
            <w:r>
              <w:rPr>
                <w:b/>
                <w:color w:val="FFFFFF"/>
                <w:sz w:val="18"/>
              </w:rPr>
              <w:t>Duration</w:t>
            </w:r>
          </w:p>
        </w:tc>
        <w:tc>
          <w:tcPr>
            <w:tcW w:type="dxa" w:w="3408"/>
            <w:vAlign w:val="top"/>
            <w:shd w:fill="1B6875"/>
          </w:tcPr>
          <w:p>
            <w:r>
              <w:rPr>
                <w:b/>
                <w:color w:val="FFFFFF"/>
                <w:sz w:val="18"/>
              </w:rPr>
            </w:r>
            <w:r>
              <w:rPr>
                <w:b/>
                <w:color w:val="FFFFFF"/>
                <w:sz w:val="18"/>
              </w:rPr>
              <w:t>Deliverables</w:t>
            </w:r>
          </w:p>
        </w:tc>
      </w:tr>
      <w:tr>
        <w:trPr>
          <w:cantSplit/>
        </w:trPr>
        <w:tc>
          <w:tcPr>
            <w:tcW w:type="dxa" w:w="3408"/>
            <w:vAlign w:val="top"/>
          </w:tcPr>
          <w:p>
            <w:r>
              <w:rPr>
                <w:sz w:val="18"/>
              </w:rPr>
            </w:r>
            <w:r>
              <w:rPr>
                <w:b w:val="0"/>
                <w:sz w:val="18"/>
              </w:rPr>
              <w:t>Phase 0: Discovery</w:t>
            </w:r>
          </w:p>
        </w:tc>
        <w:tc>
          <w:tcPr>
            <w:tcW w:type="dxa" w:w="3408"/>
            <w:vAlign w:val="top"/>
          </w:tcPr>
          <w:p>
            <w:r>
              <w:rPr>
                <w:sz w:val="18"/>
              </w:rPr>
            </w:r>
            <w:r>
              <w:rPr>
                <w:b w:val="0"/>
                <w:sz w:val="18"/>
              </w:rPr>
              <w:t>1-2 weeks</w:t>
            </w:r>
          </w:p>
        </w:tc>
        <w:tc>
          <w:tcPr>
            <w:tcW w:type="dxa" w:w="3408"/>
            <w:vAlign w:val="top"/>
          </w:tcPr>
          <w:p>
            <w:r>
              <w:rPr>
                <w:sz w:val="18"/>
              </w:rPr>
            </w:r>
            <w:r>
              <w:rPr>
                <w:b w:val="0"/>
                <w:sz w:val="18"/>
              </w:rPr>
              <w:t>Interview groups, confirm common rules, choose name, design prototype.</w:t>
            </w:r>
          </w:p>
        </w:tc>
      </w:tr>
      <w:tr>
        <w:trPr>
          <w:cantSplit/>
        </w:trPr>
        <w:tc>
          <w:tcPr>
            <w:tcW w:type="dxa" w:w="3408"/>
            <w:vAlign w:val="top"/>
          </w:tcPr>
          <w:p>
            <w:r>
              <w:rPr>
                <w:sz w:val="18"/>
              </w:rPr>
            </w:r>
            <w:r>
              <w:rPr>
                <w:b w:val="0"/>
                <w:sz w:val="18"/>
              </w:rPr>
              <w:t>Phase 1: Core app foundation</w:t>
            </w:r>
          </w:p>
        </w:tc>
        <w:tc>
          <w:tcPr>
            <w:tcW w:type="dxa" w:w="3408"/>
            <w:vAlign w:val="top"/>
          </w:tcPr>
          <w:p>
            <w:r>
              <w:rPr>
                <w:sz w:val="18"/>
              </w:rPr>
            </w:r>
            <w:r>
              <w:rPr>
                <w:b w:val="0"/>
                <w:sz w:val="18"/>
              </w:rPr>
              <w:t>2-3 weeks</w:t>
            </w:r>
          </w:p>
        </w:tc>
        <w:tc>
          <w:tcPr>
            <w:tcW w:type="dxa" w:w="3408"/>
            <w:vAlign w:val="top"/>
          </w:tcPr>
          <w:p>
            <w:r>
              <w:rPr>
                <w:sz w:val="18"/>
              </w:rPr>
            </w:r>
            <w:r>
              <w:rPr>
                <w:b w:val="0"/>
                <w:sz w:val="18"/>
              </w:rPr>
              <w:t>Auth, profiles, groups, roles, invites, basic dashboard.</w:t>
            </w:r>
          </w:p>
        </w:tc>
      </w:tr>
      <w:tr>
        <w:trPr>
          <w:cantSplit/>
        </w:trPr>
        <w:tc>
          <w:tcPr>
            <w:tcW w:type="dxa" w:w="3408"/>
            <w:vAlign w:val="top"/>
          </w:tcPr>
          <w:p>
            <w:r>
              <w:rPr>
                <w:sz w:val="18"/>
              </w:rPr>
            </w:r>
            <w:r>
              <w:rPr>
                <w:b w:val="0"/>
                <w:sz w:val="18"/>
              </w:rPr>
              <w:t>Phase 2: Contributions and wallets</w:t>
            </w:r>
          </w:p>
        </w:tc>
        <w:tc>
          <w:tcPr>
            <w:tcW w:type="dxa" w:w="3408"/>
            <w:vAlign w:val="top"/>
          </w:tcPr>
          <w:p>
            <w:r>
              <w:rPr>
                <w:sz w:val="18"/>
              </w:rPr>
            </w:r>
            <w:r>
              <w:rPr>
                <w:b w:val="0"/>
                <w:sz w:val="18"/>
              </w:rPr>
              <w:t>3-4 weeks</w:t>
            </w:r>
          </w:p>
        </w:tc>
        <w:tc>
          <w:tcPr>
            <w:tcW w:type="dxa" w:w="3408"/>
            <w:vAlign w:val="top"/>
          </w:tcPr>
          <w:p>
            <w:r>
              <w:rPr>
                <w:sz w:val="18"/>
              </w:rPr>
            </w:r>
            <w:r>
              <w:rPr>
                <w:b w:val="0"/>
                <w:sz w:val="18"/>
              </w:rPr>
              <w:t>Contribution schedules, payment proof, treasurer confirmation, group/member ledgers.</w:t>
            </w:r>
          </w:p>
        </w:tc>
      </w:tr>
      <w:tr>
        <w:trPr>
          <w:cantSplit/>
        </w:trPr>
        <w:tc>
          <w:tcPr>
            <w:tcW w:type="dxa" w:w="3408"/>
            <w:vAlign w:val="top"/>
          </w:tcPr>
          <w:p>
            <w:r>
              <w:rPr>
                <w:sz w:val="18"/>
              </w:rPr>
            </w:r>
            <w:r>
              <w:rPr>
                <w:b w:val="0"/>
                <w:sz w:val="18"/>
              </w:rPr>
              <w:t>Phase 3: Payouts</w:t>
            </w:r>
          </w:p>
        </w:tc>
        <w:tc>
          <w:tcPr>
            <w:tcW w:type="dxa" w:w="3408"/>
            <w:vAlign w:val="top"/>
          </w:tcPr>
          <w:p>
            <w:r>
              <w:rPr>
                <w:sz w:val="18"/>
              </w:rPr>
            </w:r>
            <w:r>
              <w:rPr>
                <w:b w:val="0"/>
                <w:sz w:val="18"/>
              </w:rPr>
              <w:t>2 weeks</w:t>
            </w:r>
          </w:p>
        </w:tc>
        <w:tc>
          <w:tcPr>
            <w:tcW w:type="dxa" w:w="3408"/>
            <w:vAlign w:val="top"/>
          </w:tcPr>
          <w:p>
            <w:r>
              <w:rPr>
                <w:sz w:val="18"/>
              </w:rPr>
            </w:r>
            <w:r>
              <w:rPr>
                <w:b w:val="0"/>
                <w:sz w:val="18"/>
              </w:rPr>
              <w:t>Payout order, payout summary, deductions, multi-approval, receipts.</w:t>
            </w:r>
          </w:p>
        </w:tc>
      </w:tr>
      <w:tr>
        <w:trPr>
          <w:cantSplit/>
        </w:trPr>
        <w:tc>
          <w:tcPr>
            <w:tcW w:type="dxa" w:w="3408"/>
            <w:vAlign w:val="top"/>
          </w:tcPr>
          <w:p>
            <w:r>
              <w:rPr>
                <w:sz w:val="18"/>
              </w:rPr>
            </w:r>
            <w:r>
              <w:rPr>
                <w:b w:val="0"/>
                <w:sz w:val="18"/>
              </w:rPr>
              <w:t>Phase 4: Loans</w:t>
            </w:r>
          </w:p>
        </w:tc>
        <w:tc>
          <w:tcPr>
            <w:tcW w:type="dxa" w:w="3408"/>
            <w:vAlign w:val="top"/>
          </w:tcPr>
          <w:p>
            <w:r>
              <w:rPr>
                <w:sz w:val="18"/>
              </w:rPr>
            </w:r>
            <w:r>
              <w:rPr>
                <w:b w:val="0"/>
                <w:sz w:val="18"/>
              </w:rPr>
              <w:t>3-4 weeks</w:t>
            </w:r>
          </w:p>
        </w:tc>
        <w:tc>
          <w:tcPr>
            <w:tcW w:type="dxa" w:w="3408"/>
            <w:vAlign w:val="top"/>
          </w:tcPr>
          <w:p>
            <w:r>
              <w:rPr>
                <w:sz w:val="18"/>
              </w:rPr>
            </w:r>
            <w:r>
              <w:rPr>
                <w:b w:val="0"/>
                <w:sz w:val="18"/>
              </w:rPr>
              <w:t>Eligibility, max loan rules, guarantors, approvals, repayment, default workflow.</w:t>
            </w:r>
          </w:p>
        </w:tc>
      </w:tr>
      <w:tr>
        <w:trPr>
          <w:cantSplit/>
        </w:trPr>
        <w:tc>
          <w:tcPr>
            <w:tcW w:type="dxa" w:w="3408"/>
            <w:vAlign w:val="top"/>
          </w:tcPr>
          <w:p>
            <w:r>
              <w:rPr>
                <w:sz w:val="18"/>
              </w:rPr>
            </w:r>
            <w:r>
              <w:rPr>
                <w:b w:val="0"/>
                <w:sz w:val="18"/>
              </w:rPr>
              <w:t>Phase 5: Pilot polish</w:t>
            </w:r>
          </w:p>
        </w:tc>
        <w:tc>
          <w:tcPr>
            <w:tcW w:type="dxa" w:w="3408"/>
            <w:vAlign w:val="top"/>
          </w:tcPr>
          <w:p>
            <w:r>
              <w:rPr>
                <w:sz w:val="18"/>
              </w:rPr>
            </w:r>
            <w:r>
              <w:rPr>
                <w:b w:val="0"/>
                <w:sz w:val="18"/>
              </w:rPr>
              <w:t>2 weeks</w:t>
            </w:r>
          </w:p>
        </w:tc>
        <w:tc>
          <w:tcPr>
            <w:tcW w:type="dxa" w:w="3408"/>
            <w:vAlign w:val="top"/>
          </w:tcPr>
          <w:p>
            <w:r>
              <w:rPr>
                <w:sz w:val="18"/>
              </w:rPr>
            </w:r>
            <w:r>
              <w:rPr>
                <w:b w:val="0"/>
                <w:sz w:val="18"/>
              </w:rPr>
              <w:t>Reports, notifications, support tools, bug fixes, UAT.</w:t>
            </w:r>
          </w:p>
        </w:tc>
      </w:tr>
    </w:tbl>
    <w:p/>
    <w:p>
      <w:pPr>
        <w:pStyle w:val="Heading1"/>
        <w:keepNext/>
      </w:pPr>
      <w:r>
        <w:t>4. Suggested 12-Week MVP Timeline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shd w:fill="1B6875"/>
          </w:tcPr>
          <w:p>
            <w:r>
              <w:rPr>
                <w:b/>
                <w:color w:val="FFFFFF"/>
                <w:sz w:val="18"/>
              </w:rPr>
            </w:r>
            <w:r>
              <w:rPr>
                <w:b/>
                <w:color w:val="FFFFFF"/>
                <w:sz w:val="18"/>
              </w:rPr>
              <w:t>Week</w:t>
            </w:r>
          </w:p>
        </w:tc>
        <w:tc>
          <w:tcPr>
            <w:tcW w:type="dxa" w:w="3408"/>
            <w:vAlign w:val="top"/>
            <w:shd w:fill="1B6875"/>
          </w:tcPr>
          <w:p>
            <w:r>
              <w:rPr>
                <w:b/>
                <w:color w:val="FFFFFF"/>
                <w:sz w:val="18"/>
              </w:rPr>
            </w:r>
            <w:r>
              <w:rPr>
                <w:b/>
                <w:color w:val="FFFFFF"/>
                <w:sz w:val="18"/>
              </w:rPr>
              <w:t>Focus</w:t>
            </w:r>
          </w:p>
        </w:tc>
        <w:tc>
          <w:tcPr>
            <w:tcW w:type="dxa" w:w="3408"/>
            <w:vAlign w:val="top"/>
            <w:shd w:fill="1B6875"/>
          </w:tcPr>
          <w:p>
            <w:r>
              <w:rPr>
                <w:b/>
                <w:color w:val="FFFFFF"/>
                <w:sz w:val="18"/>
              </w:rPr>
            </w:r>
            <w:r>
              <w:rPr>
                <w:b/>
                <w:color w:val="FFFFFF"/>
                <w:sz w:val="18"/>
              </w:rPr>
              <w:t>Outcome</w:t>
            </w:r>
          </w:p>
        </w:tc>
      </w:tr>
      <w:tr>
        <w:trPr>
          <w:cantSplit/>
        </w:trPr>
        <w:tc>
          <w:tcPr>
            <w:tcW w:type="dxa" w:w="3408"/>
            <w:vAlign w:val="top"/>
          </w:tcPr>
          <w:p>
            <w:r>
              <w:rPr>
                <w:sz w:val="18"/>
              </w:rPr>
            </w:r>
            <w:r>
              <w:rPr>
                <w:b w:val="0"/>
                <w:sz w:val="18"/>
              </w:rPr>
              <w:t>1</w:t>
            </w:r>
          </w:p>
        </w:tc>
        <w:tc>
          <w:tcPr>
            <w:tcW w:type="dxa" w:w="3408"/>
            <w:vAlign w:val="top"/>
          </w:tcPr>
          <w:p>
            <w:r>
              <w:rPr>
                <w:sz w:val="18"/>
              </w:rPr>
            </w:r>
            <w:r>
              <w:rPr>
                <w:b w:val="0"/>
                <w:sz w:val="18"/>
              </w:rPr>
              <w:t>Discovery and rule collection</w:t>
            </w:r>
          </w:p>
        </w:tc>
        <w:tc>
          <w:tcPr>
            <w:tcW w:type="dxa" w:w="3408"/>
            <w:vAlign w:val="top"/>
          </w:tcPr>
          <w:p>
            <w:r>
              <w:rPr>
                <w:sz w:val="18"/>
              </w:rPr>
            </w:r>
            <w:r>
              <w:rPr>
                <w:b w:val="0"/>
                <w:sz w:val="18"/>
              </w:rPr>
              <w:t>Document 5-10 real savings group patterns in Juba.</w:t>
            </w:r>
          </w:p>
        </w:tc>
      </w:tr>
      <w:tr>
        <w:trPr>
          <w:cantSplit/>
        </w:trPr>
        <w:tc>
          <w:tcPr>
            <w:tcW w:type="dxa" w:w="3408"/>
            <w:vAlign w:val="top"/>
          </w:tcPr>
          <w:p>
            <w:r>
              <w:rPr>
                <w:sz w:val="18"/>
              </w:rPr>
            </w:r>
            <w:r>
              <w:rPr>
                <w:b w:val="0"/>
                <w:sz w:val="18"/>
              </w:rPr>
              <w:t>2</w:t>
            </w:r>
          </w:p>
        </w:tc>
        <w:tc>
          <w:tcPr>
            <w:tcW w:type="dxa" w:w="3408"/>
            <w:vAlign w:val="top"/>
          </w:tcPr>
          <w:p>
            <w:r>
              <w:rPr>
                <w:sz w:val="18"/>
              </w:rPr>
            </w:r>
            <w:r>
              <w:rPr>
                <w:b w:val="0"/>
                <w:sz w:val="18"/>
              </w:rPr>
              <w:t>UX prototype</w:t>
            </w:r>
          </w:p>
        </w:tc>
        <w:tc>
          <w:tcPr>
            <w:tcW w:type="dxa" w:w="3408"/>
            <w:vAlign w:val="top"/>
          </w:tcPr>
          <w:p>
            <w:r>
              <w:rPr>
                <w:sz w:val="18"/>
              </w:rPr>
            </w:r>
            <w:r>
              <w:rPr>
                <w:b w:val="0"/>
                <w:sz w:val="18"/>
              </w:rPr>
              <w:t>Clickable prototype and user flow tested with 2-3 group leaders.</w:t>
            </w:r>
          </w:p>
        </w:tc>
      </w:tr>
      <w:tr>
        <w:trPr>
          <w:cantSplit/>
        </w:trPr>
        <w:tc>
          <w:tcPr>
            <w:tcW w:type="dxa" w:w="3408"/>
            <w:vAlign w:val="top"/>
          </w:tcPr>
          <w:p>
            <w:r>
              <w:rPr>
                <w:sz w:val="18"/>
              </w:rPr>
            </w:r>
            <w:r>
              <w:rPr>
                <w:b w:val="0"/>
                <w:sz w:val="18"/>
              </w:rPr>
              <w:t>3</w:t>
            </w:r>
          </w:p>
        </w:tc>
        <w:tc>
          <w:tcPr>
            <w:tcW w:type="dxa" w:w="3408"/>
            <w:vAlign w:val="top"/>
          </w:tcPr>
          <w:p>
            <w:r>
              <w:rPr>
                <w:sz w:val="18"/>
              </w:rPr>
            </w:r>
            <w:r>
              <w:rPr>
                <w:b w:val="0"/>
                <w:sz w:val="18"/>
              </w:rPr>
              <w:t>Backend setup</w:t>
            </w:r>
          </w:p>
        </w:tc>
        <w:tc>
          <w:tcPr>
            <w:tcW w:type="dxa" w:w="3408"/>
            <w:vAlign w:val="top"/>
          </w:tcPr>
          <w:p>
            <w:r>
              <w:rPr>
                <w:sz w:val="18"/>
              </w:rPr>
            </w:r>
            <w:r>
              <w:rPr>
                <w:b w:val="0"/>
                <w:sz w:val="18"/>
              </w:rPr>
              <w:t>Database, auth, roles, base API.</w:t>
            </w:r>
          </w:p>
        </w:tc>
      </w:tr>
      <w:tr>
        <w:trPr>
          <w:cantSplit/>
        </w:trPr>
        <w:tc>
          <w:tcPr>
            <w:tcW w:type="dxa" w:w="3408"/>
            <w:vAlign w:val="top"/>
          </w:tcPr>
          <w:p>
            <w:r>
              <w:rPr>
                <w:sz w:val="18"/>
              </w:rPr>
            </w:r>
            <w:r>
              <w:rPr>
                <w:b w:val="0"/>
                <w:sz w:val="18"/>
              </w:rPr>
              <w:t>4</w:t>
            </w:r>
          </w:p>
        </w:tc>
        <w:tc>
          <w:tcPr>
            <w:tcW w:type="dxa" w:w="3408"/>
            <w:vAlign w:val="top"/>
          </w:tcPr>
          <w:p>
            <w:r>
              <w:rPr>
                <w:sz w:val="18"/>
              </w:rPr>
            </w:r>
            <w:r>
              <w:rPr>
                <w:b w:val="0"/>
                <w:sz w:val="18"/>
              </w:rPr>
              <w:t>Mobile app foundation</w:t>
            </w:r>
          </w:p>
        </w:tc>
        <w:tc>
          <w:tcPr>
            <w:tcW w:type="dxa" w:w="3408"/>
            <w:vAlign w:val="top"/>
          </w:tcPr>
          <w:p>
            <w:r>
              <w:rPr>
                <w:sz w:val="18"/>
              </w:rPr>
            </w:r>
            <w:r>
              <w:rPr>
                <w:b w:val="0"/>
                <w:sz w:val="18"/>
              </w:rPr>
              <w:t>Login, profile, group creation, invites.</w:t>
            </w:r>
          </w:p>
        </w:tc>
      </w:tr>
      <w:tr>
        <w:trPr>
          <w:cantSplit/>
        </w:trPr>
        <w:tc>
          <w:tcPr>
            <w:tcW w:type="dxa" w:w="3408"/>
            <w:vAlign w:val="top"/>
          </w:tcPr>
          <w:p>
            <w:r>
              <w:rPr>
                <w:sz w:val="18"/>
              </w:rPr>
            </w:r>
            <w:r>
              <w:rPr>
                <w:b w:val="0"/>
                <w:sz w:val="18"/>
              </w:rPr>
              <w:t>5</w:t>
            </w:r>
          </w:p>
        </w:tc>
        <w:tc>
          <w:tcPr>
            <w:tcW w:type="dxa" w:w="3408"/>
            <w:vAlign w:val="top"/>
          </w:tcPr>
          <w:p>
            <w:r>
              <w:rPr>
                <w:sz w:val="18"/>
              </w:rPr>
            </w:r>
            <w:r>
              <w:rPr>
                <w:b w:val="0"/>
                <w:sz w:val="18"/>
              </w:rPr>
              <w:t>Contribution engine</w:t>
            </w:r>
          </w:p>
        </w:tc>
        <w:tc>
          <w:tcPr>
            <w:tcW w:type="dxa" w:w="3408"/>
            <w:vAlign w:val="top"/>
          </w:tcPr>
          <w:p>
            <w:r>
              <w:rPr>
                <w:sz w:val="18"/>
              </w:rPr>
            </w:r>
            <w:r>
              <w:rPr>
                <w:b w:val="0"/>
                <w:sz w:val="18"/>
              </w:rPr>
              <w:t>Schedules, due dates, payment proof upload.</w:t>
            </w:r>
          </w:p>
        </w:tc>
      </w:tr>
      <w:tr>
        <w:trPr>
          <w:cantSplit/>
        </w:trPr>
        <w:tc>
          <w:tcPr>
            <w:tcW w:type="dxa" w:w="3408"/>
            <w:vAlign w:val="top"/>
          </w:tcPr>
          <w:p>
            <w:r>
              <w:rPr>
                <w:sz w:val="18"/>
              </w:rPr>
            </w:r>
            <w:r>
              <w:rPr>
                <w:b w:val="0"/>
                <w:sz w:val="18"/>
              </w:rPr>
              <w:t>6</w:t>
            </w:r>
          </w:p>
        </w:tc>
        <w:tc>
          <w:tcPr>
            <w:tcW w:type="dxa" w:w="3408"/>
            <w:vAlign w:val="top"/>
          </w:tcPr>
          <w:p>
            <w:r>
              <w:rPr>
                <w:sz w:val="18"/>
              </w:rPr>
            </w:r>
            <w:r>
              <w:rPr>
                <w:b w:val="0"/>
                <w:sz w:val="18"/>
              </w:rPr>
              <w:t>Treasurer workflow</w:t>
            </w:r>
          </w:p>
        </w:tc>
        <w:tc>
          <w:tcPr>
            <w:tcW w:type="dxa" w:w="3408"/>
            <w:vAlign w:val="top"/>
          </w:tcPr>
          <w:p>
            <w:r>
              <w:rPr>
                <w:sz w:val="18"/>
              </w:rPr>
            </w:r>
            <w:r>
              <w:rPr>
                <w:b w:val="0"/>
                <w:sz w:val="18"/>
              </w:rPr>
              <w:t>Payment confirmation, ledger posting, receipts.</w:t>
            </w:r>
          </w:p>
        </w:tc>
      </w:tr>
      <w:tr>
        <w:trPr>
          <w:cantSplit/>
        </w:trPr>
        <w:tc>
          <w:tcPr>
            <w:tcW w:type="dxa" w:w="3408"/>
            <w:vAlign w:val="top"/>
          </w:tcPr>
          <w:p>
            <w:r>
              <w:rPr>
                <w:sz w:val="18"/>
              </w:rPr>
            </w:r>
            <w:r>
              <w:rPr>
                <w:b w:val="0"/>
                <w:sz w:val="18"/>
              </w:rPr>
              <w:t>7</w:t>
            </w:r>
          </w:p>
        </w:tc>
        <w:tc>
          <w:tcPr>
            <w:tcW w:type="dxa" w:w="3408"/>
            <w:vAlign w:val="top"/>
          </w:tcPr>
          <w:p>
            <w:r>
              <w:rPr>
                <w:sz w:val="18"/>
              </w:rPr>
            </w:r>
            <w:r>
              <w:rPr>
                <w:b w:val="0"/>
                <w:sz w:val="18"/>
              </w:rPr>
              <w:t>Wallet dashboards</w:t>
            </w:r>
          </w:p>
        </w:tc>
        <w:tc>
          <w:tcPr>
            <w:tcW w:type="dxa" w:w="3408"/>
            <w:vAlign w:val="top"/>
          </w:tcPr>
          <w:p>
            <w:r>
              <w:rPr>
                <w:sz w:val="18"/>
              </w:rPr>
            </w:r>
            <w:r>
              <w:rPr>
                <w:b w:val="0"/>
                <w:sz w:val="18"/>
              </w:rPr>
              <w:t>Group wallet, member wallet, transaction history.</w:t>
            </w:r>
          </w:p>
        </w:tc>
      </w:tr>
      <w:tr>
        <w:trPr>
          <w:cantSplit/>
        </w:trPr>
        <w:tc>
          <w:tcPr>
            <w:tcW w:type="dxa" w:w="3408"/>
            <w:vAlign w:val="top"/>
          </w:tcPr>
          <w:p>
            <w:r>
              <w:rPr>
                <w:sz w:val="18"/>
              </w:rPr>
            </w:r>
            <w:r>
              <w:rPr>
                <w:b w:val="0"/>
                <w:sz w:val="18"/>
              </w:rPr>
              <w:t>8</w:t>
            </w:r>
          </w:p>
        </w:tc>
        <w:tc>
          <w:tcPr>
            <w:tcW w:type="dxa" w:w="3408"/>
            <w:vAlign w:val="top"/>
          </w:tcPr>
          <w:p>
            <w:r>
              <w:rPr>
                <w:sz w:val="18"/>
              </w:rPr>
            </w:r>
            <w:r>
              <w:rPr>
                <w:b w:val="0"/>
                <w:sz w:val="18"/>
              </w:rPr>
              <w:t>Payout engine</w:t>
            </w:r>
          </w:p>
        </w:tc>
        <w:tc>
          <w:tcPr>
            <w:tcW w:type="dxa" w:w="3408"/>
            <w:vAlign w:val="top"/>
          </w:tcPr>
          <w:p>
            <w:r>
              <w:rPr>
                <w:sz w:val="18"/>
              </w:rPr>
            </w:r>
            <w:r>
              <w:rPr>
                <w:b w:val="0"/>
                <w:sz w:val="18"/>
              </w:rPr>
              <w:t>Payout order, deductions, payout approvals.</w:t>
            </w:r>
          </w:p>
        </w:tc>
      </w:tr>
      <w:tr>
        <w:trPr>
          <w:cantSplit/>
        </w:trPr>
        <w:tc>
          <w:tcPr>
            <w:tcW w:type="dxa" w:w="3408"/>
            <w:vAlign w:val="top"/>
          </w:tcPr>
          <w:p>
            <w:r>
              <w:rPr>
                <w:sz w:val="18"/>
              </w:rPr>
            </w:r>
            <w:r>
              <w:rPr>
                <w:b w:val="0"/>
                <w:sz w:val="18"/>
              </w:rPr>
              <w:t>9</w:t>
            </w:r>
          </w:p>
        </w:tc>
        <w:tc>
          <w:tcPr>
            <w:tcW w:type="dxa" w:w="3408"/>
            <w:vAlign w:val="top"/>
          </w:tcPr>
          <w:p>
            <w:r>
              <w:rPr>
                <w:sz w:val="18"/>
              </w:rPr>
            </w:r>
            <w:r>
              <w:rPr>
                <w:b w:val="0"/>
                <w:sz w:val="18"/>
              </w:rPr>
              <w:t>Loan engine</w:t>
            </w:r>
          </w:p>
        </w:tc>
        <w:tc>
          <w:tcPr>
            <w:tcW w:type="dxa" w:w="3408"/>
            <w:vAlign w:val="top"/>
          </w:tcPr>
          <w:p>
            <w:r>
              <w:rPr>
                <w:sz w:val="18"/>
              </w:rPr>
            </w:r>
            <w:r>
              <w:rPr>
                <w:b w:val="0"/>
                <w:sz w:val="18"/>
              </w:rPr>
              <w:t>Loan request, eligibility, limits, terms display.</w:t>
            </w:r>
          </w:p>
        </w:tc>
      </w:tr>
      <w:tr>
        <w:trPr>
          <w:cantSplit/>
        </w:trPr>
        <w:tc>
          <w:tcPr>
            <w:tcW w:type="dxa" w:w="3408"/>
            <w:vAlign w:val="top"/>
          </w:tcPr>
          <w:p>
            <w:r>
              <w:rPr>
                <w:sz w:val="18"/>
              </w:rPr>
            </w:r>
            <w:r>
              <w:rPr>
                <w:b w:val="0"/>
                <w:sz w:val="18"/>
              </w:rPr>
              <w:t>10</w:t>
            </w:r>
          </w:p>
        </w:tc>
        <w:tc>
          <w:tcPr>
            <w:tcW w:type="dxa" w:w="3408"/>
            <w:vAlign w:val="top"/>
          </w:tcPr>
          <w:p>
            <w:r>
              <w:rPr>
                <w:sz w:val="18"/>
              </w:rPr>
            </w:r>
            <w:r>
              <w:rPr>
                <w:b w:val="0"/>
                <w:sz w:val="18"/>
              </w:rPr>
              <w:t>Guarantors and repayments</w:t>
            </w:r>
          </w:p>
        </w:tc>
        <w:tc>
          <w:tcPr>
            <w:tcW w:type="dxa" w:w="3408"/>
            <w:vAlign w:val="top"/>
          </w:tcPr>
          <w:p>
            <w:r>
              <w:rPr>
                <w:sz w:val="18"/>
              </w:rPr>
            </w:r>
            <w:r>
              <w:rPr>
                <w:b w:val="0"/>
                <w:sz w:val="18"/>
              </w:rPr>
              <w:t>Guarantor acceptance, repayment tracking, overdue handling.</w:t>
            </w:r>
          </w:p>
        </w:tc>
      </w:tr>
      <w:tr>
        <w:trPr>
          <w:cantSplit/>
        </w:trPr>
        <w:tc>
          <w:tcPr>
            <w:tcW w:type="dxa" w:w="3408"/>
            <w:vAlign w:val="top"/>
          </w:tcPr>
          <w:p>
            <w:r>
              <w:rPr>
                <w:sz w:val="18"/>
              </w:rPr>
            </w:r>
            <w:r>
              <w:rPr>
                <w:b w:val="0"/>
                <w:sz w:val="18"/>
              </w:rPr>
              <w:t>11</w:t>
            </w:r>
          </w:p>
        </w:tc>
        <w:tc>
          <w:tcPr>
            <w:tcW w:type="dxa" w:w="3408"/>
            <w:vAlign w:val="top"/>
          </w:tcPr>
          <w:p>
            <w:r>
              <w:rPr>
                <w:sz w:val="18"/>
              </w:rPr>
            </w:r>
            <w:r>
              <w:rPr>
                <w:b w:val="0"/>
                <w:sz w:val="18"/>
              </w:rPr>
              <w:t>Reports and notifications</w:t>
            </w:r>
          </w:p>
        </w:tc>
        <w:tc>
          <w:tcPr>
            <w:tcW w:type="dxa" w:w="3408"/>
            <w:vAlign w:val="top"/>
          </w:tcPr>
          <w:p>
            <w:r>
              <w:rPr>
                <w:sz w:val="18"/>
              </w:rPr>
            </w:r>
            <w:r>
              <w:rPr>
                <w:b w:val="0"/>
                <w:sz w:val="18"/>
              </w:rPr>
              <w:t>Statements, reminders, admin support view.</w:t>
            </w:r>
          </w:p>
        </w:tc>
      </w:tr>
      <w:tr>
        <w:trPr>
          <w:cantSplit/>
        </w:trPr>
        <w:tc>
          <w:tcPr>
            <w:tcW w:type="dxa" w:w="3408"/>
            <w:vAlign w:val="top"/>
          </w:tcPr>
          <w:p>
            <w:r>
              <w:rPr>
                <w:sz w:val="18"/>
              </w:rPr>
            </w:r>
            <w:r>
              <w:rPr>
                <w:b w:val="0"/>
                <w:sz w:val="18"/>
              </w:rPr>
              <w:t>12</w:t>
            </w:r>
          </w:p>
        </w:tc>
        <w:tc>
          <w:tcPr>
            <w:tcW w:type="dxa" w:w="3408"/>
            <w:vAlign w:val="top"/>
          </w:tcPr>
          <w:p>
            <w:r>
              <w:rPr>
                <w:sz w:val="18"/>
              </w:rPr>
            </w:r>
            <w:r>
              <w:rPr>
                <w:b w:val="0"/>
                <w:sz w:val="18"/>
              </w:rPr>
              <w:t>Pilot launch readiness</w:t>
            </w:r>
          </w:p>
        </w:tc>
        <w:tc>
          <w:tcPr>
            <w:tcW w:type="dxa" w:w="3408"/>
            <w:vAlign w:val="top"/>
          </w:tcPr>
          <w:p>
            <w:r>
              <w:rPr>
                <w:sz w:val="18"/>
              </w:rPr>
            </w:r>
            <w:r>
              <w:rPr>
                <w:b w:val="0"/>
                <w:sz w:val="18"/>
              </w:rPr>
              <w:t>UAT, fixes, training materials, pilot onboarding.</w:t>
            </w:r>
          </w:p>
        </w:tc>
      </w:tr>
    </w:tbl>
    <w:p/>
    <w:p>
      <w:pPr>
        <w:pStyle w:val="Heading1"/>
        <w:keepNext/>
      </w:pPr>
      <w:r>
        <w:t>5. Pilot Design</w:t>
      </w:r>
    </w:p>
    <w:p>
      <w:r>
        <w:t>Start with 3 to 5 groups. Each group should have 5 to 15 members, a known leader, and existing savings behavior. The pilot should use real behavior but conservative controls. For legal and trust safety, real money should be held by the group account, not by the app owner.</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top"/>
            <w:shd w:fill="1B6875"/>
          </w:tcPr>
          <w:p>
            <w:r>
              <w:rPr>
                <w:b/>
                <w:color w:val="FFFFFF"/>
                <w:sz w:val="18"/>
              </w:rPr>
            </w:r>
            <w:r>
              <w:rPr>
                <w:b/>
                <w:color w:val="FFFFFF"/>
                <w:sz w:val="18"/>
              </w:rPr>
              <w:t>Pilot Parameter</w:t>
            </w:r>
          </w:p>
        </w:tc>
        <w:tc>
          <w:tcPr>
            <w:tcW w:type="dxa" w:w="5112"/>
            <w:vAlign w:val="top"/>
            <w:shd w:fill="1B6875"/>
          </w:tcPr>
          <w:p>
            <w:r>
              <w:rPr>
                <w:b/>
                <w:color w:val="FFFFFF"/>
                <w:sz w:val="18"/>
              </w:rPr>
            </w:r>
            <w:r>
              <w:rPr>
                <w:b/>
                <w:color w:val="FFFFFF"/>
                <w:sz w:val="18"/>
              </w:rPr>
              <w:t>Recommendation</w:t>
            </w:r>
          </w:p>
        </w:tc>
      </w:tr>
      <w:tr>
        <w:trPr>
          <w:cantSplit/>
        </w:trPr>
        <w:tc>
          <w:tcPr>
            <w:tcW w:type="dxa" w:w="5112"/>
            <w:vAlign w:val="top"/>
          </w:tcPr>
          <w:p>
            <w:r>
              <w:rPr>
                <w:sz w:val="18"/>
              </w:rPr>
            </w:r>
            <w:r>
              <w:rPr>
                <w:b w:val="0"/>
                <w:sz w:val="18"/>
              </w:rPr>
              <w:t>Number of groups</w:t>
            </w:r>
          </w:p>
        </w:tc>
        <w:tc>
          <w:tcPr>
            <w:tcW w:type="dxa" w:w="5112"/>
            <w:vAlign w:val="top"/>
          </w:tcPr>
          <w:p>
            <w:r>
              <w:rPr>
                <w:sz w:val="18"/>
              </w:rPr>
            </w:r>
            <w:r>
              <w:rPr>
                <w:b w:val="0"/>
                <w:sz w:val="18"/>
              </w:rPr>
              <w:t>3-5 groups</w:t>
            </w:r>
          </w:p>
        </w:tc>
      </w:tr>
      <w:tr>
        <w:trPr>
          <w:cantSplit/>
        </w:trPr>
        <w:tc>
          <w:tcPr>
            <w:tcW w:type="dxa" w:w="5112"/>
            <w:vAlign w:val="top"/>
          </w:tcPr>
          <w:p>
            <w:r>
              <w:rPr>
                <w:sz w:val="18"/>
              </w:rPr>
            </w:r>
            <w:r>
              <w:rPr>
                <w:b w:val="0"/>
                <w:sz w:val="18"/>
              </w:rPr>
              <w:t>Members per group</w:t>
            </w:r>
          </w:p>
        </w:tc>
        <w:tc>
          <w:tcPr>
            <w:tcW w:type="dxa" w:w="5112"/>
            <w:vAlign w:val="top"/>
          </w:tcPr>
          <w:p>
            <w:r>
              <w:rPr>
                <w:sz w:val="18"/>
              </w:rPr>
            </w:r>
            <w:r>
              <w:rPr>
                <w:b w:val="0"/>
                <w:sz w:val="18"/>
              </w:rPr>
              <w:t>5-15 members</w:t>
            </w:r>
          </w:p>
        </w:tc>
      </w:tr>
      <w:tr>
        <w:trPr>
          <w:cantSplit/>
        </w:trPr>
        <w:tc>
          <w:tcPr>
            <w:tcW w:type="dxa" w:w="5112"/>
            <w:vAlign w:val="top"/>
          </w:tcPr>
          <w:p>
            <w:r>
              <w:rPr>
                <w:sz w:val="18"/>
              </w:rPr>
            </w:r>
            <w:r>
              <w:rPr>
                <w:b w:val="0"/>
                <w:sz w:val="18"/>
              </w:rPr>
              <w:t>Cycle duration</w:t>
            </w:r>
          </w:p>
        </w:tc>
        <w:tc>
          <w:tcPr>
            <w:tcW w:type="dxa" w:w="5112"/>
            <w:vAlign w:val="top"/>
          </w:tcPr>
          <w:p>
            <w:r>
              <w:rPr>
                <w:sz w:val="18"/>
              </w:rPr>
            </w:r>
            <w:r>
              <w:rPr>
                <w:b w:val="0"/>
                <w:sz w:val="18"/>
              </w:rPr>
              <w:t>4 weeks</w:t>
            </w:r>
          </w:p>
        </w:tc>
      </w:tr>
      <w:tr>
        <w:trPr>
          <w:cantSplit/>
        </w:trPr>
        <w:tc>
          <w:tcPr>
            <w:tcW w:type="dxa" w:w="5112"/>
            <w:vAlign w:val="top"/>
          </w:tcPr>
          <w:p>
            <w:r>
              <w:rPr>
                <w:sz w:val="18"/>
              </w:rPr>
            </w:r>
            <w:r>
              <w:rPr>
                <w:b w:val="0"/>
                <w:sz w:val="18"/>
              </w:rPr>
              <w:t>Contribution frequency</w:t>
            </w:r>
          </w:p>
        </w:tc>
        <w:tc>
          <w:tcPr>
            <w:tcW w:type="dxa" w:w="5112"/>
            <w:vAlign w:val="top"/>
          </w:tcPr>
          <w:p>
            <w:r>
              <w:rPr>
                <w:sz w:val="18"/>
              </w:rPr>
            </w:r>
            <w:r>
              <w:rPr>
                <w:b w:val="0"/>
                <w:sz w:val="18"/>
              </w:rPr>
              <w:t>Weekly first; daily later</w:t>
            </w:r>
          </w:p>
        </w:tc>
      </w:tr>
      <w:tr>
        <w:trPr>
          <w:cantSplit/>
        </w:trPr>
        <w:tc>
          <w:tcPr>
            <w:tcW w:type="dxa" w:w="5112"/>
            <w:vAlign w:val="top"/>
          </w:tcPr>
          <w:p>
            <w:r>
              <w:rPr>
                <w:sz w:val="18"/>
              </w:rPr>
            </w:r>
            <w:r>
              <w:rPr>
                <w:b w:val="0"/>
                <w:sz w:val="18"/>
              </w:rPr>
              <w:t>Currency</w:t>
            </w:r>
          </w:p>
        </w:tc>
        <w:tc>
          <w:tcPr>
            <w:tcW w:type="dxa" w:w="5112"/>
            <w:vAlign w:val="top"/>
          </w:tcPr>
          <w:p>
            <w:r>
              <w:rPr>
                <w:sz w:val="18"/>
              </w:rPr>
            </w:r>
            <w:r>
              <w:rPr>
                <w:b w:val="0"/>
                <w:sz w:val="18"/>
              </w:rPr>
              <w:t>SSP first, USD optional if pilot group requires it</w:t>
            </w:r>
          </w:p>
        </w:tc>
      </w:tr>
      <w:tr>
        <w:trPr>
          <w:cantSplit/>
        </w:trPr>
        <w:tc>
          <w:tcPr>
            <w:tcW w:type="dxa" w:w="5112"/>
            <w:vAlign w:val="top"/>
          </w:tcPr>
          <w:p>
            <w:r>
              <w:rPr>
                <w:sz w:val="18"/>
              </w:rPr>
            </w:r>
            <w:r>
              <w:rPr>
                <w:b w:val="0"/>
                <w:sz w:val="18"/>
              </w:rPr>
              <w:t>Loan limit</w:t>
            </w:r>
          </w:p>
        </w:tc>
        <w:tc>
          <w:tcPr>
            <w:tcW w:type="dxa" w:w="5112"/>
            <w:vAlign w:val="top"/>
          </w:tcPr>
          <w:p>
            <w:r>
              <w:rPr>
                <w:sz w:val="18"/>
              </w:rPr>
            </w:r>
            <w:r>
              <w:rPr>
                <w:b w:val="0"/>
                <w:sz w:val="18"/>
              </w:rPr>
              <w:t>50% of expected payout or lower</w:t>
            </w:r>
          </w:p>
        </w:tc>
      </w:tr>
      <w:tr>
        <w:trPr>
          <w:cantSplit/>
        </w:trPr>
        <w:tc>
          <w:tcPr>
            <w:tcW w:type="dxa" w:w="5112"/>
            <w:vAlign w:val="top"/>
          </w:tcPr>
          <w:p>
            <w:r>
              <w:rPr>
                <w:sz w:val="18"/>
              </w:rPr>
            </w:r>
            <w:r>
              <w:rPr>
                <w:b w:val="0"/>
                <w:sz w:val="18"/>
              </w:rPr>
              <w:t>Money custody</w:t>
            </w:r>
          </w:p>
        </w:tc>
        <w:tc>
          <w:tcPr>
            <w:tcW w:type="dxa" w:w="5112"/>
            <w:vAlign w:val="top"/>
          </w:tcPr>
          <w:p>
            <w:r>
              <w:rPr>
                <w:sz w:val="18"/>
              </w:rPr>
            </w:r>
            <w:r>
              <w:rPr>
                <w:b w:val="0"/>
                <w:sz w:val="18"/>
              </w:rPr>
              <w:t>Group-controlled bank/mobile money account</w:t>
            </w:r>
          </w:p>
        </w:tc>
      </w:tr>
      <w:tr>
        <w:trPr>
          <w:cantSplit/>
        </w:trPr>
        <w:tc>
          <w:tcPr>
            <w:tcW w:type="dxa" w:w="5112"/>
            <w:vAlign w:val="top"/>
          </w:tcPr>
          <w:p>
            <w:r>
              <w:rPr>
                <w:sz w:val="18"/>
              </w:rPr>
            </w:r>
            <w:r>
              <w:rPr>
                <w:b w:val="0"/>
                <w:sz w:val="18"/>
              </w:rPr>
              <w:t>Support</w:t>
            </w:r>
          </w:p>
        </w:tc>
        <w:tc>
          <w:tcPr>
            <w:tcW w:type="dxa" w:w="5112"/>
            <w:vAlign w:val="top"/>
          </w:tcPr>
          <w:p>
            <w:r>
              <w:rPr>
                <w:sz w:val="18"/>
              </w:rPr>
            </w:r>
            <w:r>
              <w:rPr>
                <w:b w:val="0"/>
                <w:sz w:val="18"/>
              </w:rPr>
              <w:t>WhatsApp support group plus in-app support tickets</w:t>
            </w:r>
          </w:p>
        </w:tc>
      </w:tr>
    </w:tbl>
    <w:p/>
    <w:p>
      <w:pPr>
        <w:pStyle w:val="Heading1"/>
        <w:keepNext/>
      </w:pPr>
      <w:r>
        <w:t>6. Pilot Onboarding Script</w:t>
      </w:r>
    </w:p>
    <w:p>
      <w:pPr>
        <w:pStyle w:val="ListNumber"/>
      </w:pPr>
      <w:r>
        <w:t>Meet group leadership and explain the app as a transparency and record-keeping tool.</w:t>
      </w:r>
    </w:p>
    <w:p>
      <w:pPr>
        <w:pStyle w:val="ListNumber"/>
      </w:pPr>
      <w:r>
        <w:t>Confirm group rules in writing: contribution amount, frequency, payout order, loan rules, penalties, approvals.</w:t>
      </w:r>
    </w:p>
    <w:p>
      <w:pPr>
        <w:pStyle w:val="ListNumber"/>
      </w:pPr>
      <w:r>
        <w:t>Create the group in the app and assign admin, treasurer, and secretary/auditor roles.</w:t>
      </w:r>
    </w:p>
    <w:p>
      <w:pPr>
        <w:pStyle w:val="ListNumber"/>
      </w:pPr>
      <w:r>
        <w:t>Invite members and help them complete profile setup.</w:t>
      </w:r>
    </w:p>
    <w:p>
      <w:pPr>
        <w:pStyle w:val="ListNumber"/>
      </w:pPr>
      <w:r>
        <w:t>Ask each member to accept the digital constitution.</w:t>
      </w:r>
    </w:p>
    <w:p>
      <w:pPr>
        <w:pStyle w:val="ListNumber"/>
      </w:pPr>
      <w:r>
        <w:t>Run one test contribution with small amount or demo mode.</w:t>
      </w:r>
    </w:p>
    <w:p>
      <w:pPr>
        <w:pStyle w:val="ListNumber"/>
      </w:pPr>
      <w:r>
        <w:t>Begin the first real cycle only after all members understand the process.</w:t>
      </w:r>
    </w:p>
    <w:p>
      <w:pPr>
        <w:pStyle w:val="ListNumber"/>
      </w:pPr>
      <w:r>
        <w:t>Collect feedback weekly and document issues.</w:t>
      </w:r>
    </w:p>
    <w:p>
      <w:pPr>
        <w:pStyle w:val="Heading1"/>
        <w:keepNext/>
      </w:pPr>
      <w:r>
        <w:t>7. Go-To-Market for Juba</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top"/>
            <w:shd w:fill="1B6875"/>
          </w:tcPr>
          <w:p>
            <w:r>
              <w:rPr>
                <w:b/>
                <w:color w:val="FFFFFF"/>
                <w:sz w:val="18"/>
              </w:rPr>
            </w:r>
            <w:r>
              <w:rPr>
                <w:b/>
                <w:color w:val="FFFFFF"/>
                <w:sz w:val="18"/>
              </w:rPr>
              <w:t>Channel</w:t>
            </w:r>
          </w:p>
        </w:tc>
        <w:tc>
          <w:tcPr>
            <w:tcW w:type="dxa" w:w="5112"/>
            <w:vAlign w:val="top"/>
            <w:shd w:fill="1B6875"/>
          </w:tcPr>
          <w:p>
            <w:r>
              <w:rPr>
                <w:b/>
                <w:color w:val="FFFFFF"/>
                <w:sz w:val="18"/>
              </w:rPr>
            </w:r>
            <w:r>
              <w:rPr>
                <w:b/>
                <w:color w:val="FFFFFF"/>
                <w:sz w:val="18"/>
              </w:rPr>
              <w:t>Approach</w:t>
            </w:r>
          </w:p>
        </w:tc>
      </w:tr>
      <w:tr>
        <w:trPr>
          <w:cantSplit/>
        </w:trPr>
        <w:tc>
          <w:tcPr>
            <w:tcW w:type="dxa" w:w="5112"/>
            <w:vAlign w:val="top"/>
          </w:tcPr>
          <w:p>
            <w:r>
              <w:rPr>
                <w:sz w:val="18"/>
              </w:rPr>
            </w:r>
            <w:r>
              <w:rPr>
                <w:b w:val="0"/>
                <w:sz w:val="18"/>
              </w:rPr>
              <w:t>Market groups</w:t>
            </w:r>
          </w:p>
        </w:tc>
        <w:tc>
          <w:tcPr>
            <w:tcW w:type="dxa" w:w="5112"/>
            <w:vAlign w:val="top"/>
          </w:tcPr>
          <w:p>
            <w:r>
              <w:rPr>
                <w:sz w:val="18"/>
              </w:rPr>
            </w:r>
            <w:r>
              <w:rPr>
                <w:b w:val="0"/>
                <w:sz w:val="18"/>
              </w:rPr>
              <w:t>Partner with trusted market leaders and demonstrate contribution tracking.</w:t>
            </w:r>
          </w:p>
        </w:tc>
      </w:tr>
      <w:tr>
        <w:trPr>
          <w:cantSplit/>
        </w:trPr>
        <w:tc>
          <w:tcPr>
            <w:tcW w:type="dxa" w:w="5112"/>
            <w:vAlign w:val="top"/>
          </w:tcPr>
          <w:p>
            <w:r>
              <w:rPr>
                <w:sz w:val="18"/>
              </w:rPr>
            </w:r>
            <w:r>
              <w:rPr>
                <w:b w:val="0"/>
                <w:sz w:val="18"/>
              </w:rPr>
              <w:t>Salons and boutiques</w:t>
            </w:r>
          </w:p>
        </w:tc>
        <w:tc>
          <w:tcPr>
            <w:tcW w:type="dxa" w:w="5112"/>
            <w:vAlign w:val="top"/>
          </w:tcPr>
          <w:p>
            <w:r>
              <w:rPr>
                <w:sz w:val="18"/>
              </w:rPr>
            </w:r>
            <w:r>
              <w:rPr>
                <w:b w:val="0"/>
                <w:sz w:val="18"/>
              </w:rPr>
              <w:t>Use women-led savings circles as early ambassadors.</w:t>
            </w:r>
          </w:p>
        </w:tc>
      </w:tr>
      <w:tr>
        <w:trPr>
          <w:cantSplit/>
        </w:trPr>
        <w:tc>
          <w:tcPr>
            <w:tcW w:type="dxa" w:w="5112"/>
            <w:vAlign w:val="top"/>
          </w:tcPr>
          <w:p>
            <w:r>
              <w:rPr>
                <w:sz w:val="18"/>
              </w:rPr>
            </w:r>
            <w:r>
              <w:rPr>
                <w:b w:val="0"/>
                <w:sz w:val="18"/>
              </w:rPr>
              <w:t>NGO/workplace groups</w:t>
            </w:r>
          </w:p>
        </w:tc>
        <w:tc>
          <w:tcPr>
            <w:tcW w:type="dxa" w:w="5112"/>
            <w:vAlign w:val="top"/>
          </w:tcPr>
          <w:p>
            <w:r>
              <w:rPr>
                <w:sz w:val="18"/>
              </w:rPr>
            </w:r>
            <w:r>
              <w:rPr>
                <w:b w:val="0"/>
                <w:sz w:val="18"/>
              </w:rPr>
              <w:t>Present as a staff welfare/savings transparency tool.</w:t>
            </w:r>
          </w:p>
        </w:tc>
      </w:tr>
      <w:tr>
        <w:trPr>
          <w:cantSplit/>
        </w:trPr>
        <w:tc>
          <w:tcPr>
            <w:tcW w:type="dxa" w:w="5112"/>
            <w:vAlign w:val="top"/>
          </w:tcPr>
          <w:p>
            <w:r>
              <w:rPr>
                <w:sz w:val="18"/>
              </w:rPr>
            </w:r>
            <w:r>
              <w:rPr>
                <w:b w:val="0"/>
                <w:sz w:val="18"/>
              </w:rPr>
              <w:t>Church/community groups</w:t>
            </w:r>
          </w:p>
        </w:tc>
        <w:tc>
          <w:tcPr>
            <w:tcW w:type="dxa" w:w="5112"/>
            <w:vAlign w:val="top"/>
          </w:tcPr>
          <w:p>
            <w:r>
              <w:rPr>
                <w:sz w:val="18"/>
              </w:rPr>
            </w:r>
            <w:r>
              <w:rPr>
                <w:b w:val="0"/>
                <w:sz w:val="18"/>
              </w:rPr>
              <w:t>Emphasize trust, receipts, and group accountability.</w:t>
            </w:r>
          </w:p>
        </w:tc>
      </w:tr>
      <w:tr>
        <w:trPr>
          <w:cantSplit/>
        </w:trPr>
        <w:tc>
          <w:tcPr>
            <w:tcW w:type="dxa" w:w="5112"/>
            <w:vAlign w:val="top"/>
          </w:tcPr>
          <w:p>
            <w:r>
              <w:rPr>
                <w:sz w:val="18"/>
              </w:rPr>
            </w:r>
            <w:r>
              <w:rPr>
                <w:b w:val="0"/>
                <w:sz w:val="18"/>
              </w:rPr>
              <w:t>Social media</w:t>
            </w:r>
          </w:p>
        </w:tc>
        <w:tc>
          <w:tcPr>
            <w:tcW w:type="dxa" w:w="5112"/>
            <w:vAlign w:val="top"/>
          </w:tcPr>
          <w:p>
            <w:r>
              <w:rPr>
                <w:sz w:val="18"/>
              </w:rPr>
            </w:r>
            <w:r>
              <w:rPr>
                <w:b w:val="0"/>
                <w:sz w:val="18"/>
              </w:rPr>
              <w:t>Short videos explaining “who paid, who receives, who borrowed”.</w:t>
            </w:r>
          </w:p>
        </w:tc>
      </w:tr>
      <w:tr>
        <w:trPr>
          <w:cantSplit/>
        </w:trPr>
        <w:tc>
          <w:tcPr>
            <w:tcW w:type="dxa" w:w="5112"/>
            <w:vAlign w:val="top"/>
          </w:tcPr>
          <w:p>
            <w:r>
              <w:rPr>
                <w:sz w:val="18"/>
              </w:rPr>
            </w:r>
            <w:r>
              <w:rPr>
                <w:b w:val="0"/>
                <w:sz w:val="18"/>
              </w:rPr>
              <w:t>Referral program</w:t>
            </w:r>
          </w:p>
        </w:tc>
        <w:tc>
          <w:tcPr>
            <w:tcW w:type="dxa" w:w="5112"/>
            <w:vAlign w:val="top"/>
          </w:tcPr>
          <w:p>
            <w:r>
              <w:rPr>
                <w:sz w:val="18"/>
              </w:rPr>
            </w:r>
            <w:r>
              <w:rPr>
                <w:b w:val="0"/>
                <w:sz w:val="18"/>
              </w:rPr>
              <w:t>Give free first cycle or discounted month for groups referred by existing groups.</w:t>
            </w:r>
          </w:p>
        </w:tc>
      </w:tr>
    </w:tbl>
    <w:p/>
    <w:p>
      <w:pPr>
        <w:pStyle w:val="Heading1"/>
        <w:keepNext/>
      </w:pPr>
      <w:r>
        <w:t>8. Launch Metrics</w:t>
      </w:r>
    </w:p>
    <w:p>
      <w:pPr>
        <w:pStyle w:val="ListBullet"/>
      </w:pPr>
      <w:r>
        <w:t>At least 3 pilot groups complete one full cycle.</w:t>
      </w:r>
    </w:p>
    <w:p>
      <w:pPr>
        <w:pStyle w:val="ListBullet"/>
      </w:pPr>
      <w:r>
        <w:t>At least 90% of scheduled contributions are recorded correctly.</w:t>
      </w:r>
    </w:p>
    <w:p>
      <w:pPr>
        <w:pStyle w:val="ListBullet"/>
      </w:pPr>
      <w:r>
        <w:t>At least 95% of members understand their wallet balance and payout order.</w:t>
      </w:r>
    </w:p>
    <w:p>
      <w:pPr>
        <w:pStyle w:val="ListBullet"/>
      </w:pPr>
      <w:r>
        <w:t>No unresolved payout dispute at the end of pilot cycle.</w:t>
      </w:r>
    </w:p>
    <w:p>
      <w:pPr>
        <w:pStyle w:val="ListBullet"/>
      </w:pPr>
      <w:r>
        <w:t>At least 2 groups agree to continue using the app after pilot.</w:t>
      </w:r>
    </w:p>
    <w:p>
      <w:pPr>
        <w:pStyle w:val="ListBullet"/>
      </w:pPr>
      <w:r>
        <w:t>Support issues are documented and converted into product fixes.</w:t>
      </w:r>
    </w:p>
    <w:p>
      <w:pPr>
        <w:pStyle w:val="Heading1"/>
        <w:keepNext/>
      </w:pPr>
      <w:r>
        <w:t>9. Post-Pilot Decisions</w:t>
      </w:r>
    </w:p>
    <w:p>
      <w:pPr>
        <w:pStyle w:val="ListBullet"/>
      </w:pPr>
      <w:r>
        <w:t>Whether to keep ledger-first model or pursue payment integration immediately.</w:t>
      </w:r>
    </w:p>
    <w:p>
      <w:pPr>
        <w:pStyle w:val="ListBullet"/>
      </w:pPr>
      <w:r>
        <w:t>Which payment providers or banks to approach first.</w:t>
      </w:r>
    </w:p>
    <w:p>
      <w:pPr>
        <w:pStyle w:val="ListBullet"/>
      </w:pPr>
      <w:r>
        <w:t>Whether to add SMS/USSD fallback.</w:t>
      </w:r>
    </w:p>
    <w:p>
      <w:pPr>
        <w:pStyle w:val="ListBullet"/>
      </w:pPr>
      <w:r>
        <w:t>Whether daily contribution groups need agent-assisted confirmation.</w:t>
      </w:r>
    </w:p>
    <w:p>
      <w:pPr>
        <w:pStyle w:val="ListBullet"/>
      </w:pPr>
      <w:r>
        <w:t>Whether loan functionality should remain conservative or expand.</w:t>
      </w:r>
    </w:p>
    <w:p>
      <w:pPr>
        <w:pStyle w:val="Heading1"/>
        <w:keepNext/>
      </w:pPr>
      <w:r>
        <w:t>Reference Notes and Sources</w:t>
      </w:r>
    </w:p>
    <w:p>
      <w:r>
        <w:t>These references were used only to shape the regulatory and market context. This document is not legal advice. Before handling real funds, consult a South Sudan-qualified legal adviser and engage the Bank of South Sudan or a licensed financial institution.</w:t>
      </w:r>
    </w:p>
    <w:p>
      <w:pPr>
        <w:pStyle w:val="ListBullet"/>
      </w:pPr>
      <w:r>
        <w:t>Bank of South Sudan - National Payment System overview: https://boss.gov.ss/national-payment-system/</w:t>
      </w:r>
    </w:p>
    <w:p>
      <w:pPr>
        <w:pStyle w:val="ListBullet"/>
      </w:pPr>
      <w:r>
        <w:t>Bank of South Sudan - acceptance of mobile money as legal tender/public notice, 2025: https://boss.gov.ss/wp-content/uploads/2025/07/legal.pdf</w:t>
      </w:r>
    </w:p>
    <w:p>
      <w:pPr>
        <w:pStyle w:val="ListBullet"/>
      </w:pPr>
      <w:r>
        <w:t>Bank of South Sudan - functions as operator and regulator of the NPS; e-money licensing/trust account references, 2025: https://boss.gov.ss/wp-content/uploads/2025/09/functions-of-the-bank-of-south-Sudan-as-operator-and-Regulator-of-the-NPS-in-South-sudan_0001.pdf</w:t>
      </w:r>
    </w:p>
    <w:p>
      <w:pPr>
        <w:pStyle w:val="ListBullet"/>
      </w:pPr>
      <w:r>
        <w:t>UNDP South Sudan - Digital Mobile Wallet Usage as an Enabler for Financial Inclusion, 2025: https://www.undp.org/south-sudan/publications/digital-mobile-wallet-usage-enabler-financial-inclusion-undp-south-sudan-report</w:t>
      </w:r>
    </w:p>
    <w:p>
      <w:pPr>
        <w:pStyle w:val="ListBullet"/>
      </w:pPr>
      <w:r>
        <w:t>UNCDF - South Sudan Policy Diagnostic Report, 2023: https://migrantmoney.uncdf.org/wp-content/uploads/2023/11/South-Sudan-Diagnostic-Report.pdf</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Draft planning document | May 2, 2026 | Prepared for Juba pilot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B6875"/>
        <w:sz w:val="16"/>
      </w:rPr>
      <w:t>SawaSave | MVP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687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0AB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687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