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6875"/>
          <w:sz w:val="48"/>
        </w:rPr>
        <w:t>Wallet Custody, Payment, and Compliance Model</w:t>
      </w:r>
    </w:p>
    <w:p>
      <w:pPr>
        <w:jc w:val="center"/>
      </w:pPr>
      <w:r>
        <w:rPr>
          <w:color w:val="1F2937"/>
          <w:sz w:val="24"/>
        </w:rPr>
        <w:t>Digital Group Savings, Rotating Payouts, and Group-Backed Loans for Juba</w:t>
      </w:r>
    </w:p>
    <w:p>
      <w:pPr>
        <w:jc w:val="center"/>
      </w:pPr>
      <w:r>
        <w:rPr>
          <w:i/>
          <w:sz w:val="20"/>
        </w:rPr>
        <w:t>Version 1.0 | May 2, 2026</w:t>
      </w:r>
    </w:p>
    <w:p/>
    <w:p>
      <w:pPr>
        <w:pStyle w:val="Heading1"/>
        <w:keepNext/>
      </w:pPr>
      <w:r>
        <w:t>1. Main Recommendation</w:t>
      </w:r>
    </w:p>
    <w:tbl>
      <w:tblPr>
        <w:tblW w:type="auto" w:w="0"/>
        <w:tblLook w:firstColumn="1" w:firstRow="1" w:lastColumn="0" w:lastRow="0" w:noHBand="0" w:noVBand="1" w:val="04A0"/>
      </w:tblPr>
      <w:tblGrid>
        <w:gridCol w:w="10224"/>
      </w:tblGrid>
      <w:tr>
        <w:trPr>
          <w:cantSplit/>
        </w:trPr>
        <w:tc>
          <w:tcPr>
            <w:tcW w:type="dxa" w:w="10224"/>
            <w:shd w:fill="ECF6E8"/>
          </w:tcPr>
          <w:p>
            <w:r/>
            <w:r>
              <w:rPr>
                <w:b/>
                <w:color w:val="1B6875"/>
                <w:sz w:val="20"/>
              </w:rPr>
              <w:t>Recommended MVP Position</w:t>
            </w:r>
          </w:p>
          <w:p>
            <w:r>
              <w:rPr>
                <w:sz w:val="18"/>
              </w:rPr>
              <w:t>SawaSave should start as a group savings management and ledger platform. It should not hold customer money directly in the MVP. Real funds should be deposited into a group-controlled bank or mobile money account, while the app records contributions, wallet balances, approvals, loans, payouts, and receipts.</w:t>
            </w:r>
          </w:p>
        </w:tc>
      </w:tr>
    </w:tbl>
    <w:p/>
    <w:p>
      <w:pPr>
        <w:pStyle w:val="Heading1"/>
        <w:keepNext/>
      </w:pPr>
      <w:r>
        <w:t>2. Why This Matters</w:t>
      </w:r>
    </w:p>
    <w:p>
      <w:pPr>
        <w:pStyle w:val="ListBullet"/>
      </w:pPr>
      <w:r>
        <w:t>Holding customer money directly can make the business look like a deposit-taking, e-money, payment, or lending institution.</w:t>
      </w:r>
    </w:p>
    <w:p>
      <w:pPr>
        <w:pStyle w:val="ListBullet"/>
      </w:pPr>
      <w:r>
        <w:t>Users will trust the product more if group funds are not mixed with the founder's account or an ordinary business account.</w:t>
      </w:r>
    </w:p>
    <w:p>
      <w:pPr>
        <w:pStyle w:val="ListBullet"/>
      </w:pPr>
      <w:r>
        <w:t>Licensed banks and mobile money providers already have obligations around custody, settlement, KYC/AML, and dispute handling.</w:t>
      </w:r>
    </w:p>
    <w:p>
      <w:pPr>
        <w:pStyle w:val="ListBullet"/>
      </w:pPr>
      <w:r>
        <w:t>A ledger-first MVP allows the product to prove demand before deeper regulatory and payment integration costs.</w:t>
      </w:r>
    </w:p>
    <w:p>
      <w:pPr>
        <w:pStyle w:val="Heading1"/>
        <w:keepNext/>
      </w:pPr>
      <w:r>
        <w:t>3. Account Options</w:t>
      </w:r>
    </w:p>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2556"/>
            <w:vAlign w:val="top"/>
            <w:shd w:fill="1B6875"/>
          </w:tcPr>
          <w:p>
            <w:r>
              <w:rPr>
                <w:b/>
                <w:color w:val="FFFFFF"/>
                <w:sz w:val="18"/>
              </w:rPr>
            </w:r>
            <w:r>
              <w:rPr>
                <w:b/>
                <w:color w:val="FFFFFF"/>
                <w:sz w:val="18"/>
              </w:rPr>
              <w:t>Option</w:t>
            </w:r>
          </w:p>
        </w:tc>
        <w:tc>
          <w:tcPr>
            <w:tcW w:type="dxa" w:w="2556"/>
            <w:vAlign w:val="top"/>
            <w:shd w:fill="1B6875"/>
          </w:tcPr>
          <w:p>
            <w:r>
              <w:rPr>
                <w:b/>
                <w:color w:val="FFFFFF"/>
                <w:sz w:val="18"/>
              </w:rPr>
            </w:r>
            <w:r>
              <w:rPr>
                <w:b/>
                <w:color w:val="FFFFFF"/>
                <w:sz w:val="18"/>
              </w:rPr>
              <w:t>Where Funds Sit</w:t>
            </w:r>
          </w:p>
        </w:tc>
        <w:tc>
          <w:tcPr>
            <w:tcW w:type="dxa" w:w="2556"/>
            <w:vAlign w:val="top"/>
            <w:shd w:fill="1B6875"/>
          </w:tcPr>
          <w:p>
            <w:r>
              <w:rPr>
                <w:b/>
                <w:color w:val="FFFFFF"/>
                <w:sz w:val="18"/>
              </w:rPr>
            </w:r>
            <w:r>
              <w:rPr>
                <w:b/>
                <w:color w:val="FFFFFF"/>
                <w:sz w:val="18"/>
              </w:rPr>
              <w:t>When to Use</w:t>
            </w:r>
          </w:p>
        </w:tc>
        <w:tc>
          <w:tcPr>
            <w:tcW w:type="dxa" w:w="2556"/>
            <w:vAlign w:val="top"/>
            <w:shd w:fill="1B6875"/>
          </w:tcPr>
          <w:p>
            <w:r>
              <w:rPr>
                <w:b/>
                <w:color w:val="FFFFFF"/>
                <w:sz w:val="18"/>
              </w:rPr>
            </w:r>
            <w:r>
              <w:rPr>
                <w:b/>
                <w:color w:val="FFFFFF"/>
                <w:sz w:val="18"/>
              </w:rPr>
              <w:t>Risk Level</w:t>
            </w:r>
          </w:p>
        </w:tc>
      </w:tr>
      <w:tr>
        <w:trPr>
          <w:cantSplit/>
        </w:trPr>
        <w:tc>
          <w:tcPr>
            <w:tcW w:type="dxa" w:w="2556"/>
            <w:vAlign w:val="top"/>
          </w:tcPr>
          <w:p>
            <w:r>
              <w:rPr>
                <w:sz w:val="18"/>
              </w:rPr>
            </w:r>
            <w:r>
              <w:rPr>
                <w:b w:val="0"/>
                <w:sz w:val="18"/>
              </w:rPr>
              <w:t>Group-controlled account</w:t>
            </w:r>
          </w:p>
        </w:tc>
        <w:tc>
          <w:tcPr>
            <w:tcW w:type="dxa" w:w="2556"/>
            <w:vAlign w:val="top"/>
          </w:tcPr>
          <w:p>
            <w:r>
              <w:rPr>
                <w:sz w:val="18"/>
              </w:rPr>
            </w:r>
            <w:r>
              <w:rPr>
                <w:b w:val="0"/>
                <w:sz w:val="18"/>
              </w:rPr>
              <w:t>Dedicated bank/mobile money account controlled by group signatories</w:t>
            </w:r>
          </w:p>
        </w:tc>
        <w:tc>
          <w:tcPr>
            <w:tcW w:type="dxa" w:w="2556"/>
            <w:vAlign w:val="top"/>
          </w:tcPr>
          <w:p>
            <w:r>
              <w:rPr>
                <w:sz w:val="18"/>
              </w:rPr>
            </w:r>
            <w:r>
              <w:rPr>
                <w:b w:val="0"/>
                <w:sz w:val="18"/>
              </w:rPr>
              <w:t>Best MVP option</w:t>
            </w:r>
          </w:p>
        </w:tc>
        <w:tc>
          <w:tcPr>
            <w:tcW w:type="dxa" w:w="2556"/>
            <w:vAlign w:val="top"/>
          </w:tcPr>
          <w:p>
            <w:r>
              <w:rPr>
                <w:sz w:val="18"/>
              </w:rPr>
            </w:r>
            <w:r>
              <w:rPr>
                <w:b w:val="0"/>
                <w:sz w:val="18"/>
              </w:rPr>
              <w:t>Low to medium</w:t>
            </w:r>
          </w:p>
        </w:tc>
      </w:tr>
      <w:tr>
        <w:trPr>
          <w:cantSplit/>
        </w:trPr>
        <w:tc>
          <w:tcPr>
            <w:tcW w:type="dxa" w:w="2556"/>
            <w:vAlign w:val="top"/>
          </w:tcPr>
          <w:p>
            <w:r>
              <w:rPr>
                <w:sz w:val="18"/>
              </w:rPr>
            </w:r>
            <w:r>
              <w:rPr>
                <w:b w:val="0"/>
                <w:sz w:val="18"/>
              </w:rPr>
              <w:t>Partner virtual accounts</w:t>
            </w:r>
          </w:p>
        </w:tc>
        <w:tc>
          <w:tcPr>
            <w:tcW w:type="dxa" w:w="2556"/>
            <w:vAlign w:val="top"/>
          </w:tcPr>
          <w:p>
            <w:r>
              <w:rPr>
                <w:sz w:val="18"/>
              </w:rPr>
            </w:r>
            <w:r>
              <w:rPr>
                <w:b w:val="0"/>
                <w:sz w:val="18"/>
              </w:rPr>
              <w:t>Licensed bank/mobile money provider creates virtual group accounts</w:t>
            </w:r>
          </w:p>
        </w:tc>
        <w:tc>
          <w:tcPr>
            <w:tcW w:type="dxa" w:w="2556"/>
            <w:vAlign w:val="top"/>
          </w:tcPr>
          <w:p>
            <w:r>
              <w:rPr>
                <w:sz w:val="18"/>
              </w:rPr>
            </w:r>
            <w:r>
              <w:rPr>
                <w:b w:val="0"/>
                <w:sz w:val="18"/>
              </w:rPr>
              <w:t>After partnership/API access</w:t>
            </w:r>
          </w:p>
        </w:tc>
        <w:tc>
          <w:tcPr>
            <w:tcW w:type="dxa" w:w="2556"/>
            <w:vAlign w:val="top"/>
          </w:tcPr>
          <w:p>
            <w:r>
              <w:rPr>
                <w:sz w:val="18"/>
              </w:rPr>
            </w:r>
            <w:r>
              <w:rPr>
                <w:b w:val="0"/>
                <w:sz w:val="18"/>
              </w:rPr>
              <w:t>Medium</w:t>
            </w:r>
          </w:p>
        </w:tc>
      </w:tr>
      <w:tr>
        <w:trPr>
          <w:cantSplit/>
        </w:trPr>
        <w:tc>
          <w:tcPr>
            <w:tcW w:type="dxa" w:w="2556"/>
            <w:vAlign w:val="top"/>
          </w:tcPr>
          <w:p>
            <w:r>
              <w:rPr>
                <w:sz w:val="18"/>
              </w:rPr>
            </w:r>
            <w:r>
              <w:rPr>
                <w:b w:val="0"/>
                <w:sz w:val="18"/>
              </w:rPr>
              <w:t>Client funds/trust account</w:t>
            </w:r>
          </w:p>
        </w:tc>
        <w:tc>
          <w:tcPr>
            <w:tcW w:type="dxa" w:w="2556"/>
            <w:vAlign w:val="top"/>
          </w:tcPr>
          <w:p>
            <w:r>
              <w:rPr>
                <w:sz w:val="18"/>
              </w:rPr>
            </w:r>
            <w:r>
              <w:rPr>
                <w:b w:val="0"/>
                <w:sz w:val="18"/>
              </w:rPr>
              <w:t>Regulated account held for users, usually through licensed entity</w:t>
            </w:r>
          </w:p>
        </w:tc>
        <w:tc>
          <w:tcPr>
            <w:tcW w:type="dxa" w:w="2556"/>
            <w:vAlign w:val="top"/>
          </w:tcPr>
          <w:p>
            <w:r>
              <w:rPr>
                <w:sz w:val="18"/>
              </w:rPr>
            </w:r>
            <w:r>
              <w:rPr>
                <w:b w:val="0"/>
                <w:sz w:val="18"/>
              </w:rPr>
              <w:t>Growth stage with legal setup</w:t>
            </w:r>
          </w:p>
        </w:tc>
        <w:tc>
          <w:tcPr>
            <w:tcW w:type="dxa" w:w="2556"/>
            <w:vAlign w:val="top"/>
          </w:tcPr>
          <w:p>
            <w:r>
              <w:rPr>
                <w:sz w:val="18"/>
              </w:rPr>
            </w:r>
            <w:r>
              <w:rPr>
                <w:b w:val="0"/>
                <w:sz w:val="18"/>
              </w:rPr>
              <w:t>Medium to high</w:t>
            </w:r>
          </w:p>
        </w:tc>
      </w:tr>
      <w:tr>
        <w:trPr>
          <w:cantSplit/>
        </w:trPr>
        <w:tc>
          <w:tcPr>
            <w:tcW w:type="dxa" w:w="2556"/>
            <w:vAlign w:val="top"/>
          </w:tcPr>
          <w:p>
            <w:r>
              <w:rPr>
                <w:sz w:val="18"/>
              </w:rPr>
            </w:r>
            <w:r>
              <w:rPr>
                <w:b w:val="0"/>
                <w:sz w:val="18"/>
              </w:rPr>
              <w:t>App company account</w:t>
            </w:r>
          </w:p>
        </w:tc>
        <w:tc>
          <w:tcPr>
            <w:tcW w:type="dxa" w:w="2556"/>
            <w:vAlign w:val="top"/>
          </w:tcPr>
          <w:p>
            <w:r>
              <w:rPr>
                <w:sz w:val="18"/>
              </w:rPr>
            </w:r>
            <w:r>
              <w:rPr>
                <w:b w:val="0"/>
                <w:sz w:val="18"/>
              </w:rPr>
              <w:t>Ordinary company or founder account</w:t>
            </w:r>
          </w:p>
        </w:tc>
        <w:tc>
          <w:tcPr>
            <w:tcW w:type="dxa" w:w="2556"/>
            <w:vAlign w:val="top"/>
          </w:tcPr>
          <w:p>
            <w:r>
              <w:rPr>
                <w:sz w:val="18"/>
              </w:rPr>
            </w:r>
            <w:r>
              <w:rPr>
                <w:b w:val="0"/>
                <w:sz w:val="18"/>
              </w:rPr>
              <w:t>Avoid</w:t>
            </w:r>
          </w:p>
        </w:tc>
        <w:tc>
          <w:tcPr>
            <w:tcW w:type="dxa" w:w="2556"/>
            <w:vAlign w:val="top"/>
          </w:tcPr>
          <w:p>
            <w:r>
              <w:rPr>
                <w:sz w:val="18"/>
              </w:rPr>
            </w:r>
            <w:r>
              <w:rPr>
                <w:b w:val="0"/>
                <w:sz w:val="18"/>
              </w:rPr>
              <w:t>High</w:t>
            </w:r>
          </w:p>
        </w:tc>
      </w:tr>
      <w:tr>
        <w:trPr>
          <w:cantSplit/>
        </w:trPr>
        <w:tc>
          <w:tcPr>
            <w:tcW w:type="dxa" w:w="2556"/>
            <w:vAlign w:val="top"/>
          </w:tcPr>
          <w:p>
            <w:r>
              <w:rPr>
                <w:sz w:val="18"/>
              </w:rPr>
            </w:r>
            <w:r>
              <w:rPr>
                <w:b w:val="0"/>
                <w:sz w:val="18"/>
              </w:rPr>
              <w:t>Group admin personal account</w:t>
            </w:r>
          </w:p>
        </w:tc>
        <w:tc>
          <w:tcPr>
            <w:tcW w:type="dxa" w:w="2556"/>
            <w:vAlign w:val="top"/>
          </w:tcPr>
          <w:p>
            <w:r>
              <w:rPr>
                <w:sz w:val="18"/>
              </w:rPr>
            </w:r>
            <w:r>
              <w:rPr>
                <w:b w:val="0"/>
                <w:sz w:val="18"/>
              </w:rPr>
              <w:t>Admin/treasurer personal wallet/account</w:t>
            </w:r>
          </w:p>
        </w:tc>
        <w:tc>
          <w:tcPr>
            <w:tcW w:type="dxa" w:w="2556"/>
            <w:vAlign w:val="top"/>
          </w:tcPr>
          <w:p>
            <w:r>
              <w:rPr>
                <w:sz w:val="18"/>
              </w:rPr>
            </w:r>
            <w:r>
              <w:rPr>
                <w:b w:val="0"/>
                <w:sz w:val="18"/>
              </w:rPr>
              <w:t>Avoid except informal pilots with clear disclosure</w:t>
            </w:r>
          </w:p>
        </w:tc>
        <w:tc>
          <w:tcPr>
            <w:tcW w:type="dxa" w:w="2556"/>
            <w:vAlign w:val="top"/>
          </w:tcPr>
          <w:p>
            <w:r>
              <w:rPr>
                <w:sz w:val="18"/>
              </w:rPr>
            </w:r>
            <w:r>
              <w:rPr>
                <w:b w:val="0"/>
                <w:sz w:val="18"/>
              </w:rPr>
              <w:t>High</w:t>
            </w:r>
          </w:p>
        </w:tc>
      </w:tr>
    </w:tbl>
    <w:p/>
    <w:p>
      <w:pPr>
        <w:pStyle w:val="Heading1"/>
        <w:keepNext/>
      </w:pPr>
      <w:r>
        <w:t>4. MVP Payment Flow</w:t>
      </w:r>
    </w:p>
    <w:p>
      <w:pPr>
        <w:pStyle w:val="ListNumber"/>
      </w:pPr>
      <w:r>
        <w:t>Group creates or identifies a dedicated money-holding account outside the app.</w:t>
      </w:r>
    </w:p>
    <w:p>
      <w:pPr>
        <w:pStyle w:val="ListNumber"/>
      </w:pPr>
      <w:r>
        <w:t>App stores payment instructions for the group.</w:t>
      </w:r>
    </w:p>
    <w:p>
      <w:pPr>
        <w:pStyle w:val="ListNumber"/>
      </w:pPr>
      <w:r>
        <w:t>Member clicks Pay Contribution and sees amount, due date, account/wallet details, and unique reference.</w:t>
      </w:r>
    </w:p>
    <w:p>
      <w:pPr>
        <w:pStyle w:val="ListNumber"/>
      </w:pPr>
      <w:r>
        <w:t>Member pays through bank transfer or mobile money outside the app.</w:t>
      </w:r>
    </w:p>
    <w:p>
      <w:pPr>
        <w:pStyle w:val="ListNumber"/>
      </w:pPr>
      <w:r>
        <w:t>Member uploads receipt or enters transaction reference.</w:t>
      </w:r>
    </w:p>
    <w:p>
      <w:pPr>
        <w:pStyle w:val="ListNumber"/>
      </w:pPr>
      <w:r>
        <w:t>Treasurer confirms receipt after checking the external account/wallet.</w:t>
      </w:r>
    </w:p>
    <w:p>
      <w:pPr>
        <w:pStyle w:val="ListNumber"/>
      </w:pPr>
      <w:r>
        <w:t>System posts immutable ledger entries to group and member wallets.</w:t>
      </w:r>
    </w:p>
    <w:p>
      <w:pPr>
        <w:pStyle w:val="ListNumber"/>
      </w:pPr>
      <w:r>
        <w:t>Member receives an in-app receipt.</w:t>
      </w:r>
    </w:p>
    <w:p>
      <w:pPr>
        <w:pStyle w:val="ListNumber"/>
      </w:pPr>
      <w:r>
        <w:t>Group statement and reconciliation report update automatically.</w:t>
      </w:r>
    </w:p>
    <w:p>
      <w:pPr>
        <w:pStyle w:val="Heading1"/>
        <w:keepNext/>
      </w:pPr>
      <w:r>
        <w:t>5. Recommended Group Account Controls</w:t>
      </w:r>
    </w:p>
    <w:p>
      <w:pPr>
        <w:pStyle w:val="ListBullet"/>
      </w:pPr>
      <w:r>
        <w:t>Use a dedicated account per group where practical.</w:t>
      </w:r>
    </w:p>
    <w:p>
      <w:pPr>
        <w:pStyle w:val="ListBullet"/>
      </w:pPr>
      <w:r>
        <w:t>Require at least two signatories for withdrawals or payouts.</w:t>
      </w:r>
    </w:p>
    <w:p>
      <w:pPr>
        <w:pStyle w:val="ListBullet"/>
      </w:pPr>
      <w:r>
        <w:t>The app should mirror these signatories digitally through approval workflows.</w:t>
      </w:r>
    </w:p>
    <w:p>
      <w:pPr>
        <w:pStyle w:val="ListBullet"/>
      </w:pPr>
      <w:r>
        <w:t>Treasurer should upload or confirm external account statement periodically.</w:t>
      </w:r>
    </w:p>
    <w:p>
      <w:pPr>
        <w:pStyle w:val="ListBullet"/>
      </w:pPr>
      <w:r>
        <w:t>Group admin should not be the only person able to approve payouts.</w:t>
      </w:r>
    </w:p>
    <w:p>
      <w:pPr>
        <w:pStyle w:val="ListBullet"/>
      </w:pPr>
      <w:r>
        <w:t>Any account change must require member notification and approval.</w:t>
      </w:r>
    </w:p>
    <w:p>
      <w:pPr>
        <w:pStyle w:val="Heading1"/>
        <w:keepNext/>
      </w:pPr>
      <w:r>
        <w:t>6. Payment Integration Roadmap</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vAlign w:val="top"/>
            <w:shd w:fill="1B6875"/>
          </w:tcPr>
          <w:p>
            <w:r>
              <w:rPr>
                <w:b/>
                <w:color w:val="FFFFFF"/>
                <w:sz w:val="18"/>
              </w:rPr>
            </w:r>
            <w:r>
              <w:rPr>
                <w:b/>
                <w:color w:val="FFFFFF"/>
                <w:sz w:val="18"/>
              </w:rPr>
              <w:t>Stage</w:t>
            </w:r>
          </w:p>
        </w:tc>
        <w:tc>
          <w:tcPr>
            <w:tcW w:type="dxa" w:w="5112"/>
            <w:vAlign w:val="top"/>
            <w:shd w:fill="1B6875"/>
          </w:tcPr>
          <w:p>
            <w:r>
              <w:rPr>
                <w:b/>
                <w:color w:val="FFFFFF"/>
                <w:sz w:val="18"/>
              </w:rPr>
            </w:r>
            <w:r>
              <w:rPr>
                <w:b/>
                <w:color w:val="FFFFFF"/>
                <w:sz w:val="18"/>
              </w:rPr>
              <w:t>Capability</w:t>
            </w:r>
          </w:p>
        </w:tc>
      </w:tr>
      <w:tr>
        <w:trPr>
          <w:cantSplit/>
        </w:trPr>
        <w:tc>
          <w:tcPr>
            <w:tcW w:type="dxa" w:w="5112"/>
            <w:vAlign w:val="top"/>
          </w:tcPr>
          <w:p>
            <w:r>
              <w:rPr>
                <w:sz w:val="18"/>
              </w:rPr>
            </w:r>
            <w:r>
              <w:rPr>
                <w:b w:val="0"/>
                <w:sz w:val="18"/>
              </w:rPr>
              <w:t>Stage 1: Manual proof</w:t>
            </w:r>
          </w:p>
        </w:tc>
        <w:tc>
          <w:tcPr>
            <w:tcW w:type="dxa" w:w="5112"/>
            <w:vAlign w:val="top"/>
          </w:tcPr>
          <w:p>
            <w:r>
              <w:rPr>
                <w:sz w:val="18"/>
              </w:rPr>
            </w:r>
            <w:r>
              <w:rPr>
                <w:b w:val="0"/>
                <w:sz w:val="18"/>
              </w:rPr>
              <w:t>Users upload screenshots or references; treasurer confirms manually.</w:t>
            </w:r>
          </w:p>
        </w:tc>
      </w:tr>
      <w:tr>
        <w:trPr>
          <w:cantSplit/>
        </w:trPr>
        <w:tc>
          <w:tcPr>
            <w:tcW w:type="dxa" w:w="5112"/>
            <w:vAlign w:val="top"/>
          </w:tcPr>
          <w:p>
            <w:r>
              <w:rPr>
                <w:sz w:val="18"/>
              </w:rPr>
            </w:r>
            <w:r>
              <w:rPr>
                <w:b w:val="0"/>
                <w:sz w:val="18"/>
              </w:rPr>
              <w:t>Stage 2: Semi-automated reconciliation</w:t>
            </w:r>
          </w:p>
        </w:tc>
        <w:tc>
          <w:tcPr>
            <w:tcW w:type="dxa" w:w="5112"/>
            <w:vAlign w:val="top"/>
          </w:tcPr>
          <w:p>
            <w:r>
              <w:rPr>
                <w:sz w:val="18"/>
              </w:rPr>
            </w:r>
            <w:r>
              <w:rPr>
                <w:b w:val="0"/>
                <w:sz w:val="18"/>
              </w:rPr>
              <w:t>Treasurer imports bank/mobile money statement CSV; app matches references.</w:t>
            </w:r>
          </w:p>
        </w:tc>
      </w:tr>
      <w:tr>
        <w:trPr>
          <w:cantSplit/>
        </w:trPr>
        <w:tc>
          <w:tcPr>
            <w:tcW w:type="dxa" w:w="5112"/>
            <w:vAlign w:val="top"/>
          </w:tcPr>
          <w:p>
            <w:r>
              <w:rPr>
                <w:sz w:val="18"/>
              </w:rPr>
            </w:r>
            <w:r>
              <w:rPr>
                <w:b w:val="0"/>
                <w:sz w:val="18"/>
              </w:rPr>
              <w:t>Stage 3: Payment partner API</w:t>
            </w:r>
          </w:p>
        </w:tc>
        <w:tc>
          <w:tcPr>
            <w:tcW w:type="dxa" w:w="5112"/>
            <w:vAlign w:val="top"/>
          </w:tcPr>
          <w:p>
            <w:r>
              <w:rPr>
                <w:sz w:val="18"/>
              </w:rPr>
            </w:r>
            <w:r>
              <w:rPr>
                <w:b w:val="0"/>
                <w:sz w:val="18"/>
              </w:rPr>
              <w:t>App verifies deposits and payouts through licensed provider APIs.</w:t>
            </w:r>
          </w:p>
        </w:tc>
      </w:tr>
      <w:tr>
        <w:trPr>
          <w:cantSplit/>
        </w:trPr>
        <w:tc>
          <w:tcPr>
            <w:tcW w:type="dxa" w:w="5112"/>
            <w:vAlign w:val="top"/>
          </w:tcPr>
          <w:p>
            <w:r>
              <w:rPr>
                <w:sz w:val="18"/>
              </w:rPr>
            </w:r>
            <w:r>
              <w:rPr>
                <w:b w:val="0"/>
                <w:sz w:val="18"/>
              </w:rPr>
              <w:t>Stage 4: Virtual accounts/sub-wallets</w:t>
            </w:r>
          </w:p>
        </w:tc>
        <w:tc>
          <w:tcPr>
            <w:tcW w:type="dxa" w:w="5112"/>
            <w:vAlign w:val="top"/>
          </w:tcPr>
          <w:p>
            <w:r>
              <w:rPr>
                <w:sz w:val="18"/>
              </w:rPr>
            </w:r>
            <w:r>
              <w:rPr>
                <w:b w:val="0"/>
                <w:sz w:val="18"/>
              </w:rPr>
              <w:t>Each group receives a unique payment identifier or virtual account.</w:t>
            </w:r>
          </w:p>
        </w:tc>
      </w:tr>
      <w:tr>
        <w:trPr>
          <w:cantSplit/>
        </w:trPr>
        <w:tc>
          <w:tcPr>
            <w:tcW w:type="dxa" w:w="5112"/>
            <w:vAlign w:val="top"/>
          </w:tcPr>
          <w:p>
            <w:r>
              <w:rPr>
                <w:sz w:val="18"/>
              </w:rPr>
            </w:r>
            <w:r>
              <w:rPr>
                <w:b w:val="0"/>
                <w:sz w:val="18"/>
              </w:rPr>
              <w:t>Stage 5: Regulated wallet model</w:t>
            </w:r>
          </w:p>
        </w:tc>
        <w:tc>
          <w:tcPr>
            <w:tcW w:type="dxa" w:w="5112"/>
            <w:vAlign w:val="top"/>
          </w:tcPr>
          <w:p>
            <w:r>
              <w:rPr>
                <w:sz w:val="18"/>
              </w:rPr>
            </w:r>
            <w:r>
              <w:rPr>
                <w:b w:val="0"/>
                <w:sz w:val="18"/>
              </w:rPr>
              <w:t>Only after licensing/partnership structure is legally clear.</w:t>
            </w:r>
          </w:p>
        </w:tc>
      </w:tr>
    </w:tbl>
    <w:p/>
    <w:p>
      <w:pPr>
        <w:pStyle w:val="Heading1"/>
        <w:keepNext/>
      </w:pPr>
      <w:r>
        <w:t>7. KYC and AML/CFT Controls</w:t>
      </w:r>
    </w:p>
    <w:p>
      <w:r>
        <w:t>Even in a ledger-first MVP, basic user verification is important. As the app grows, stronger KYC/AML controls become necessary, especially when integrated payments or larger values are involved.</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vAlign w:val="top"/>
            <w:shd w:fill="1B6875"/>
          </w:tcPr>
          <w:p>
            <w:r>
              <w:rPr>
                <w:b/>
                <w:color w:val="FFFFFF"/>
                <w:sz w:val="18"/>
              </w:rPr>
            </w:r>
            <w:r>
              <w:rPr>
                <w:b/>
                <w:color w:val="FFFFFF"/>
                <w:sz w:val="18"/>
              </w:rPr>
              <w:t>Control</w:t>
            </w:r>
          </w:p>
        </w:tc>
        <w:tc>
          <w:tcPr>
            <w:tcW w:type="dxa" w:w="3408"/>
            <w:vAlign w:val="top"/>
            <w:shd w:fill="1B6875"/>
          </w:tcPr>
          <w:p>
            <w:r>
              <w:rPr>
                <w:b/>
                <w:color w:val="FFFFFF"/>
                <w:sz w:val="18"/>
              </w:rPr>
            </w:r>
            <w:r>
              <w:rPr>
                <w:b/>
                <w:color w:val="FFFFFF"/>
                <w:sz w:val="18"/>
              </w:rPr>
              <w:t>MVP Approach</w:t>
            </w:r>
          </w:p>
        </w:tc>
        <w:tc>
          <w:tcPr>
            <w:tcW w:type="dxa" w:w="3408"/>
            <w:vAlign w:val="top"/>
            <w:shd w:fill="1B6875"/>
          </w:tcPr>
          <w:p>
            <w:r>
              <w:rPr>
                <w:b/>
                <w:color w:val="FFFFFF"/>
                <w:sz w:val="18"/>
              </w:rPr>
            </w:r>
            <w:r>
              <w:rPr>
                <w:b/>
                <w:color w:val="FFFFFF"/>
                <w:sz w:val="18"/>
              </w:rPr>
              <w:t>Growth Approach</w:t>
            </w:r>
          </w:p>
        </w:tc>
      </w:tr>
      <w:tr>
        <w:trPr>
          <w:cantSplit/>
        </w:trPr>
        <w:tc>
          <w:tcPr>
            <w:tcW w:type="dxa" w:w="3408"/>
            <w:vAlign w:val="top"/>
          </w:tcPr>
          <w:p>
            <w:r>
              <w:rPr>
                <w:sz w:val="18"/>
              </w:rPr>
            </w:r>
            <w:r>
              <w:rPr>
                <w:b w:val="0"/>
                <w:sz w:val="18"/>
              </w:rPr>
              <w:t>Identity</w:t>
            </w:r>
          </w:p>
        </w:tc>
        <w:tc>
          <w:tcPr>
            <w:tcW w:type="dxa" w:w="3408"/>
            <w:vAlign w:val="top"/>
          </w:tcPr>
          <w:p>
            <w:r>
              <w:rPr>
                <w:sz w:val="18"/>
              </w:rPr>
            </w:r>
            <w:r>
              <w:rPr>
                <w:b w:val="0"/>
                <w:sz w:val="18"/>
              </w:rPr>
              <w:t>Name, phone, location, ID type/number if group requires</w:t>
            </w:r>
          </w:p>
        </w:tc>
        <w:tc>
          <w:tcPr>
            <w:tcW w:type="dxa" w:w="3408"/>
            <w:vAlign w:val="top"/>
          </w:tcPr>
          <w:p>
            <w:r>
              <w:rPr>
                <w:sz w:val="18"/>
              </w:rPr>
            </w:r>
            <w:r>
              <w:rPr>
                <w:b w:val="0"/>
                <w:sz w:val="18"/>
              </w:rPr>
              <w:t>Verified ID photo, selfie, address, risk tiering</w:t>
            </w:r>
          </w:p>
        </w:tc>
      </w:tr>
      <w:tr>
        <w:trPr>
          <w:cantSplit/>
        </w:trPr>
        <w:tc>
          <w:tcPr>
            <w:tcW w:type="dxa" w:w="3408"/>
            <w:vAlign w:val="top"/>
          </w:tcPr>
          <w:p>
            <w:r>
              <w:rPr>
                <w:sz w:val="18"/>
              </w:rPr>
            </w:r>
            <w:r>
              <w:rPr>
                <w:b w:val="0"/>
                <w:sz w:val="18"/>
              </w:rPr>
              <w:t>Phone verification</w:t>
            </w:r>
          </w:p>
        </w:tc>
        <w:tc>
          <w:tcPr>
            <w:tcW w:type="dxa" w:w="3408"/>
            <w:vAlign w:val="top"/>
          </w:tcPr>
          <w:p>
            <w:r>
              <w:rPr>
                <w:sz w:val="18"/>
              </w:rPr>
            </w:r>
            <w:r>
              <w:rPr>
                <w:b w:val="0"/>
                <w:sz w:val="18"/>
              </w:rPr>
              <w:t>OTP or admin verified phone</w:t>
            </w:r>
          </w:p>
        </w:tc>
        <w:tc>
          <w:tcPr>
            <w:tcW w:type="dxa" w:w="3408"/>
            <w:vAlign w:val="top"/>
          </w:tcPr>
          <w:p>
            <w:r>
              <w:rPr>
                <w:sz w:val="18"/>
              </w:rPr>
            </w:r>
            <w:r>
              <w:rPr>
                <w:b w:val="0"/>
                <w:sz w:val="18"/>
              </w:rPr>
              <w:t>Automated OTP and device binding</w:t>
            </w:r>
          </w:p>
        </w:tc>
      </w:tr>
      <w:tr>
        <w:trPr>
          <w:cantSplit/>
        </w:trPr>
        <w:tc>
          <w:tcPr>
            <w:tcW w:type="dxa" w:w="3408"/>
            <w:vAlign w:val="top"/>
          </w:tcPr>
          <w:p>
            <w:r>
              <w:rPr>
                <w:sz w:val="18"/>
              </w:rPr>
            </w:r>
            <w:r>
              <w:rPr>
                <w:b w:val="0"/>
                <w:sz w:val="18"/>
              </w:rPr>
              <w:t>Transaction limits</w:t>
            </w:r>
          </w:p>
        </w:tc>
        <w:tc>
          <w:tcPr>
            <w:tcW w:type="dxa" w:w="3408"/>
            <w:vAlign w:val="top"/>
          </w:tcPr>
          <w:p>
            <w:r>
              <w:rPr>
                <w:sz w:val="18"/>
              </w:rPr>
            </w:r>
            <w:r>
              <w:rPr>
                <w:b w:val="0"/>
                <w:sz w:val="18"/>
              </w:rPr>
              <w:t>Group-defined caps</w:t>
            </w:r>
          </w:p>
        </w:tc>
        <w:tc>
          <w:tcPr>
            <w:tcW w:type="dxa" w:w="3408"/>
            <w:vAlign w:val="top"/>
          </w:tcPr>
          <w:p>
            <w:r>
              <w:rPr>
                <w:sz w:val="18"/>
              </w:rPr>
            </w:r>
            <w:r>
              <w:rPr>
                <w:b w:val="0"/>
                <w:sz w:val="18"/>
              </w:rPr>
              <w:t>Platform-wide limits based on KYC tier</w:t>
            </w:r>
          </w:p>
        </w:tc>
      </w:tr>
      <w:tr>
        <w:trPr>
          <w:cantSplit/>
        </w:trPr>
        <w:tc>
          <w:tcPr>
            <w:tcW w:type="dxa" w:w="3408"/>
            <w:vAlign w:val="top"/>
          </w:tcPr>
          <w:p>
            <w:r>
              <w:rPr>
                <w:sz w:val="18"/>
              </w:rPr>
            </w:r>
            <w:r>
              <w:rPr>
                <w:b w:val="0"/>
                <w:sz w:val="18"/>
              </w:rPr>
              <w:t>Suspicious activity</w:t>
            </w:r>
          </w:p>
        </w:tc>
        <w:tc>
          <w:tcPr>
            <w:tcW w:type="dxa" w:w="3408"/>
            <w:vAlign w:val="top"/>
          </w:tcPr>
          <w:p>
            <w:r>
              <w:rPr>
                <w:sz w:val="18"/>
              </w:rPr>
            </w:r>
            <w:r>
              <w:rPr>
                <w:b w:val="0"/>
                <w:sz w:val="18"/>
              </w:rPr>
              <w:t>Manual flags</w:t>
            </w:r>
          </w:p>
        </w:tc>
        <w:tc>
          <w:tcPr>
            <w:tcW w:type="dxa" w:w="3408"/>
            <w:vAlign w:val="top"/>
          </w:tcPr>
          <w:p>
            <w:r>
              <w:rPr>
                <w:sz w:val="18"/>
              </w:rPr>
            </w:r>
            <w:r>
              <w:rPr>
                <w:b w:val="0"/>
                <w:sz w:val="18"/>
              </w:rPr>
              <w:t>Automated monitoring and review queue</w:t>
            </w:r>
          </w:p>
        </w:tc>
      </w:tr>
      <w:tr>
        <w:trPr>
          <w:cantSplit/>
        </w:trPr>
        <w:tc>
          <w:tcPr>
            <w:tcW w:type="dxa" w:w="3408"/>
            <w:vAlign w:val="top"/>
          </w:tcPr>
          <w:p>
            <w:r>
              <w:rPr>
                <w:sz w:val="18"/>
              </w:rPr>
            </w:r>
            <w:r>
              <w:rPr>
                <w:b w:val="0"/>
                <w:sz w:val="18"/>
              </w:rPr>
              <w:t>Sanctions/PEP screening</w:t>
            </w:r>
          </w:p>
        </w:tc>
        <w:tc>
          <w:tcPr>
            <w:tcW w:type="dxa" w:w="3408"/>
            <w:vAlign w:val="top"/>
          </w:tcPr>
          <w:p>
            <w:r>
              <w:rPr>
                <w:sz w:val="18"/>
              </w:rPr>
            </w:r>
            <w:r>
              <w:rPr>
                <w:b w:val="0"/>
                <w:sz w:val="18"/>
              </w:rPr>
              <w:t>Not in MVP unless required by partner</w:t>
            </w:r>
          </w:p>
        </w:tc>
        <w:tc>
          <w:tcPr>
            <w:tcW w:type="dxa" w:w="3408"/>
            <w:vAlign w:val="top"/>
          </w:tcPr>
          <w:p>
            <w:r>
              <w:rPr>
                <w:sz w:val="18"/>
              </w:rPr>
            </w:r>
            <w:r>
              <w:rPr>
                <w:b w:val="0"/>
                <w:sz w:val="18"/>
              </w:rPr>
              <w:t>Use provider/compliance service</w:t>
            </w:r>
          </w:p>
        </w:tc>
      </w:tr>
      <w:tr>
        <w:trPr>
          <w:cantSplit/>
        </w:trPr>
        <w:tc>
          <w:tcPr>
            <w:tcW w:type="dxa" w:w="3408"/>
            <w:vAlign w:val="top"/>
          </w:tcPr>
          <w:p>
            <w:r>
              <w:rPr>
                <w:sz w:val="18"/>
              </w:rPr>
            </w:r>
            <w:r>
              <w:rPr>
                <w:b w:val="0"/>
                <w:sz w:val="18"/>
              </w:rPr>
              <w:t>Record retention</w:t>
            </w:r>
          </w:p>
        </w:tc>
        <w:tc>
          <w:tcPr>
            <w:tcW w:type="dxa" w:w="3408"/>
            <w:vAlign w:val="top"/>
          </w:tcPr>
          <w:p>
            <w:r>
              <w:rPr>
                <w:sz w:val="18"/>
              </w:rPr>
            </w:r>
            <w:r>
              <w:rPr>
                <w:b w:val="0"/>
                <w:sz w:val="18"/>
              </w:rPr>
              <w:t>Keep audit records and receipts</w:t>
            </w:r>
          </w:p>
        </w:tc>
        <w:tc>
          <w:tcPr>
            <w:tcW w:type="dxa" w:w="3408"/>
            <w:vAlign w:val="top"/>
          </w:tcPr>
          <w:p>
            <w:r>
              <w:rPr>
                <w:sz w:val="18"/>
              </w:rPr>
            </w:r>
            <w:r>
              <w:rPr>
                <w:b w:val="0"/>
                <w:sz w:val="18"/>
              </w:rPr>
              <w:t>Formal retention policy</w:t>
            </w:r>
          </w:p>
        </w:tc>
      </w:tr>
    </w:tbl>
    <w:p/>
    <w:p>
      <w:pPr>
        <w:pStyle w:val="Heading1"/>
        <w:keepNext/>
      </w:pPr>
      <w:r>
        <w:t>8. Consumer Protection Principles</w:t>
      </w:r>
    </w:p>
    <w:p>
      <w:pPr>
        <w:pStyle w:val="ListBullet"/>
      </w:pPr>
      <w:r>
        <w:t>Show contribution amount, due date, penalties, and loan interest clearly.</w:t>
      </w:r>
    </w:p>
    <w:p>
      <w:pPr>
        <w:pStyle w:val="ListBullet"/>
      </w:pPr>
      <w:r>
        <w:t>Do not hide the true loan cost behind percentages only.</w:t>
      </w:r>
    </w:p>
    <w:p>
      <w:pPr>
        <w:pStyle w:val="ListBullet"/>
      </w:pPr>
      <w:r>
        <w:t>Require members to accept the group constitution before activation.</w:t>
      </w:r>
    </w:p>
    <w:p>
      <w:pPr>
        <w:pStyle w:val="ListBullet"/>
      </w:pPr>
      <w:r>
        <w:t>Give members access to receipts and statements.</w:t>
      </w:r>
    </w:p>
    <w:p>
      <w:pPr>
        <w:pStyle w:val="ListBullet"/>
      </w:pPr>
      <w:r>
        <w:t>Provide simple dispute reporting.</w:t>
      </w:r>
    </w:p>
    <w:p>
      <w:pPr>
        <w:pStyle w:val="ListBullet"/>
      </w:pPr>
      <w:r>
        <w:t>Notify members before rule changes take effect.</w:t>
      </w:r>
    </w:p>
    <w:p>
      <w:pPr>
        <w:pStyle w:val="ListBullet"/>
      </w:pPr>
      <w:r>
        <w:t>Do not allow admins to silently change balances or payout order.</w:t>
      </w:r>
    </w:p>
    <w:p>
      <w:pPr>
        <w:pStyle w:val="Heading1"/>
        <w:keepNext/>
      </w:pPr>
      <w:r>
        <w:t>9. Legal Positioning for MVP</w:t>
      </w:r>
    </w:p>
    <w:p>
      <w:r>
        <w:t>Recommended public positioning:</w:t>
      </w:r>
    </w:p>
    <w:tbl>
      <w:tblPr>
        <w:tblW w:type="auto" w:w="0"/>
        <w:tblLook w:firstColumn="1" w:firstRow="1" w:lastColumn="0" w:lastRow="0" w:noHBand="0" w:noVBand="1" w:val="04A0"/>
      </w:tblPr>
      <w:tblGrid>
        <w:gridCol w:w="10224"/>
      </w:tblGrid>
      <w:tr>
        <w:trPr>
          <w:cantSplit/>
        </w:trPr>
        <w:tc>
          <w:tcPr>
            <w:tcW w:type="dxa" w:w="10224"/>
            <w:shd w:fill="EAF3F1"/>
          </w:tcPr>
          <w:p>
            <w:r/>
            <w:r>
              <w:rPr>
                <w:b/>
                <w:color w:val="1B6875"/>
                <w:sz w:val="20"/>
              </w:rPr>
              <w:t>Suggested Wording</w:t>
            </w:r>
          </w:p>
          <w:p>
            <w:r>
              <w:rPr>
                <w:sz w:val="18"/>
              </w:rPr>
              <w:t>SawaSave helps trusted savings groups manage contributions, loans, payout schedules, approvals, receipts, and group records. Funds are held and moved through the group's chosen bank or mobile money account. SawaSave does not hold customer funds directly in the MVP.</w:t>
            </w:r>
          </w:p>
        </w:tc>
      </w:tr>
    </w:tbl>
    <w:p/>
    <w:p>
      <w:r>
        <w:t>Avoid wording such as “deposit your money into SawaSave” or “SawaSave will hold your savings” unless and until the business has the appropriate legal structure and regulatory approvals.</w:t>
      </w:r>
    </w:p>
    <w:p>
      <w:pPr>
        <w:pStyle w:val="Heading1"/>
        <w:keepNext/>
      </w:pPr>
      <w:r>
        <w:t>10. Compliance Checklist Before Handling Real Funds</w:t>
      </w:r>
    </w:p>
    <w:p>
      <w:pPr>
        <w:pStyle w:val="ListBullet"/>
      </w:pPr>
      <w:r>
        <w:t>Obtain legal advice on whether the model triggers licensing as a payment service provider, e-money issuer, microfinance/lender, or deposit-taking activity.</w:t>
      </w:r>
    </w:p>
    <w:p>
      <w:pPr>
        <w:pStyle w:val="ListBullet"/>
      </w:pPr>
      <w:r>
        <w:t>Engage a licensed bank or mobile money provider for custody and payment rails.</w:t>
      </w:r>
    </w:p>
    <w:p>
      <w:pPr>
        <w:pStyle w:val="ListBullet"/>
      </w:pPr>
      <w:r>
        <w:t>Create clear terms of service and group constitution templates.</w:t>
      </w:r>
    </w:p>
    <w:p>
      <w:pPr>
        <w:pStyle w:val="ListBullet"/>
      </w:pPr>
      <w:r>
        <w:t>Separate client funds from operating funds if any platform-controlled funds are introduced.</w:t>
      </w:r>
    </w:p>
    <w:p>
      <w:pPr>
        <w:pStyle w:val="ListBullet"/>
      </w:pPr>
      <w:r>
        <w:t>Implement KYC, AML/CFT, transaction monitoring, complaint handling, and record retention policies.</w:t>
      </w:r>
    </w:p>
    <w:p>
      <w:pPr>
        <w:pStyle w:val="ListBullet"/>
      </w:pPr>
      <w:r>
        <w:t>Create incident response process for fraud, mistaken payments, account takeover, and disputes.</w:t>
      </w:r>
    </w:p>
    <w:p>
      <w:pPr>
        <w:pStyle w:val="ListBullet"/>
      </w:pPr>
      <w:r>
        <w:t>Confirm how interest, fees, and penalties may be treated legally and tax-wise.</w:t>
      </w:r>
    </w:p>
    <w:p>
      <w:pPr>
        <w:pStyle w:val="Heading1"/>
        <w:keepNext/>
      </w:pPr>
      <w:r>
        <w:t>Reference Notes and Sources</w:t>
      </w:r>
    </w:p>
    <w:p>
      <w:r>
        <w:t>These references were used only to shape the regulatory and market context. This document is not legal advice. Before handling real funds, consult a South Sudan-qualified legal adviser and engage the Bank of South Sudan or a licensed financial institution.</w:t>
      </w:r>
    </w:p>
    <w:p>
      <w:pPr>
        <w:pStyle w:val="ListBullet"/>
      </w:pPr>
      <w:r>
        <w:t>Bank of South Sudan - National Payment System overview: https://boss.gov.ss/national-payment-system/</w:t>
      </w:r>
    </w:p>
    <w:p>
      <w:pPr>
        <w:pStyle w:val="ListBullet"/>
      </w:pPr>
      <w:r>
        <w:t>Bank of South Sudan - acceptance of mobile money as legal tender/public notice, 2025: https://boss.gov.ss/wp-content/uploads/2025/07/legal.pdf</w:t>
      </w:r>
    </w:p>
    <w:p>
      <w:pPr>
        <w:pStyle w:val="ListBullet"/>
      </w:pPr>
      <w:r>
        <w:t>Bank of South Sudan - functions as operator and regulator of the NPS; e-money licensing/trust account references, 2025: https://boss.gov.ss/wp-content/uploads/2025/09/functions-of-the-bank-of-south-Sudan-as-operator-and-Regulator-of-the-NPS-in-South-sudan_0001.pdf</w:t>
      </w:r>
    </w:p>
    <w:p>
      <w:pPr>
        <w:pStyle w:val="ListBullet"/>
      </w:pPr>
      <w:r>
        <w:t>UNDP South Sudan - Digital Mobile Wallet Usage as an Enabler for Financial Inclusion, 2025: https://www.undp.org/south-sudan/publications/digital-mobile-wallet-usage-enabler-financial-inclusion-undp-south-sudan-report</w:t>
      </w:r>
    </w:p>
    <w:p>
      <w:pPr>
        <w:pStyle w:val="ListBullet"/>
      </w:pPr>
      <w:r>
        <w:t>UNCDF - South Sudan Policy Diagnostic Report, 2023: https://migrantmoney.uncdf.org/wp-content/uploads/2023/11/South-Sudan-Diagnostic-Report.pdf</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Draft planning document | May 2, 2026 | Prepared for Juba pilot planning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1B6875"/>
        <w:sz w:val="16"/>
      </w:rPr>
      <w:t>SawaSave | Wallet &amp; Compliance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B687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70AB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B687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