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11483" w14:textId="7F4B9C58" w:rsidR="00AF245B" w:rsidRPr="00605C1A" w:rsidRDefault="00AF245B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  <w:u w:val="single"/>
        </w:rPr>
        <w:t>Data Quality:</w:t>
      </w:r>
    </w:p>
    <w:p w14:paraId="193528DD" w14:textId="2D9CC580" w:rsidR="00AF245B" w:rsidRPr="00572090" w:rsidRDefault="00AF245B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The source data was already very clean with data available daily, monthly, or quarterly, depending on the variable:</w:t>
      </w:r>
    </w:p>
    <w:p w14:paraId="649C76AD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S&amp;P500 Index (GSPC)</w:t>
      </w:r>
      <w:r w:rsidR="00572090">
        <w:rPr>
          <w:rFonts w:ascii="Calibri" w:hAnsi="Calibri" w:cs="Calibri"/>
          <w:sz w:val="20"/>
          <w:szCs w:val="20"/>
        </w:rPr>
        <w:t>:</w:t>
      </w:r>
    </w:p>
    <w:p w14:paraId="69B37ED6" w14:textId="548492DC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</w:t>
      </w:r>
      <w:r w:rsidRPr="00572090">
        <w:rPr>
          <w:rFonts w:ascii="Calibri" w:hAnsi="Calibri" w:cs="Calibri"/>
          <w:sz w:val="20"/>
          <w:szCs w:val="20"/>
        </w:rPr>
        <w:t>he market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leading indicator for investor sentiment</w:t>
      </w:r>
    </w:p>
    <w:p w14:paraId="016F4BFA" w14:textId="0C887314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DAILY DATA from 1970: 14,155 rows, 14,155 non-null</w:t>
      </w:r>
    </w:p>
    <w:p w14:paraId="7B84AC67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CBOE Volatility Index (VIXCLS)</w:t>
      </w:r>
      <w:r w:rsidR="00572090">
        <w:rPr>
          <w:rFonts w:ascii="Calibri" w:hAnsi="Calibri" w:cs="Calibri"/>
          <w:sz w:val="20"/>
          <w:szCs w:val="20"/>
        </w:rPr>
        <w:t>:</w:t>
      </w:r>
    </w:p>
    <w:p w14:paraId="1A82DDC4" w14:textId="5C342292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The "Fear Gauge"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measures market stress/uncertainty</w:t>
      </w:r>
    </w:p>
    <w:p w14:paraId="71D4930D" w14:textId="7F6AABDA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DAILY DATA from 1990: 9,428 rows, 9,127 non-null</w:t>
      </w:r>
    </w:p>
    <w:p w14:paraId="5324FA7A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10-Year Treasury Rate (DGS10)</w:t>
      </w:r>
    </w:p>
    <w:p w14:paraId="2D7BEC6A" w14:textId="1C98E8B8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Growth Expectations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benchmarks long-term borrowing costs</w:t>
      </w:r>
    </w:p>
    <w:p w14:paraId="366DF58E" w14:textId="7EE6CC6A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DAILY DATA from 1970: 14,646 rows, 14,023 non-null</w:t>
      </w:r>
    </w:p>
    <w:p w14:paraId="71E1F13F" w14:textId="77777777" w:rsidR="00572090" w:rsidRDefault="00AF245B" w:rsidP="005739DC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Consumer Price Index (CPIAUCSL) </w:t>
      </w:r>
    </w:p>
    <w:p w14:paraId="4CAFFF4B" w14:textId="2FDE390A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Inflation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tracks the purchasing power of the </w:t>
      </w:r>
      <w:r>
        <w:rPr>
          <w:rFonts w:ascii="Calibri" w:hAnsi="Calibri" w:cs="Calibri"/>
          <w:sz w:val="20"/>
          <w:szCs w:val="20"/>
        </w:rPr>
        <w:t>D</w:t>
      </w:r>
      <w:r w:rsidRPr="00572090">
        <w:rPr>
          <w:rFonts w:ascii="Calibri" w:hAnsi="Calibri" w:cs="Calibri"/>
          <w:sz w:val="20"/>
          <w:szCs w:val="20"/>
        </w:rPr>
        <w:t>ollar</w:t>
      </w:r>
    </w:p>
    <w:p w14:paraId="7C7DA2A3" w14:textId="03F0EC90" w:rsidR="005739DC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MONTHLY DATA from 1970: 673 rows, 672 non-null</w:t>
      </w:r>
    </w:p>
    <w:p w14:paraId="2805F4BD" w14:textId="77777777" w:rsidR="00572090" w:rsidRDefault="00AF245B" w:rsidP="005739DC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Effective Federal Funds Rate (FEDFUNDS) </w:t>
      </w:r>
    </w:p>
    <w:p w14:paraId="71EC6180" w14:textId="72F49415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Monetary Policy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the interest rate set by the Federal Reserve</w:t>
      </w:r>
    </w:p>
    <w:p w14:paraId="303B54C1" w14:textId="078AC676" w:rsidR="005739DC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MONTHLY DATA from 1970: 673 rows, 673 non-null</w:t>
      </w:r>
    </w:p>
    <w:p w14:paraId="5DE04484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Unemployment Rate (UNRATE)</w:t>
      </w:r>
    </w:p>
    <w:p w14:paraId="54A796B7" w14:textId="54B02894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Labor Market</w:t>
      </w:r>
      <w:r>
        <w:rPr>
          <w:rFonts w:ascii="Calibri" w:hAnsi="Calibri" w:cs="Calibri"/>
          <w:sz w:val="20"/>
          <w:szCs w:val="20"/>
        </w:rPr>
        <w:t xml:space="preserve">: </w:t>
      </w:r>
      <w:r w:rsidRPr="00572090">
        <w:rPr>
          <w:rFonts w:ascii="Calibri" w:hAnsi="Calibri" w:cs="Calibri"/>
          <w:sz w:val="20"/>
          <w:szCs w:val="20"/>
        </w:rPr>
        <w:t>lagging indicator of economic health</w:t>
      </w:r>
    </w:p>
    <w:p w14:paraId="21EA23B3" w14:textId="7FB16CCB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MONTHLY DATA from 1970: 673 rows, 672 non-null</w:t>
      </w:r>
    </w:p>
    <w:p w14:paraId="47807865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Gross Domestic Product (GDP) </w:t>
      </w:r>
    </w:p>
    <w:p w14:paraId="1DD6F1DA" w14:textId="5EA35E8C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The "Scorecard"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total value of goods/services produced</w:t>
      </w:r>
    </w:p>
    <w:p w14:paraId="03029E1A" w14:textId="26978506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QUARTERLY DATA from 1970: 224 rows, 224 non-null</w:t>
      </w:r>
    </w:p>
    <w:p w14:paraId="41530FE1" w14:textId="33D75CAD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Individual stock tickers</w:t>
      </w:r>
      <w:r w:rsidR="00572090">
        <w:rPr>
          <w:rFonts w:ascii="Calibri" w:hAnsi="Calibri" w:cs="Calibri"/>
          <w:sz w:val="20"/>
          <w:szCs w:val="20"/>
        </w:rPr>
        <w:t>:</w:t>
      </w:r>
    </w:p>
    <w:p w14:paraId="6C7F13CE" w14:textId="2053939F" w:rsidR="00860A27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DAILY DATA from 1970: 14,155 rows, various non-null (depending on time of listing of stock)</w:t>
      </w:r>
    </w:p>
    <w:p w14:paraId="3B010455" w14:textId="77777777" w:rsidR="00AF245B" w:rsidRPr="00572090" w:rsidRDefault="00AF245B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Values were missing only for days when markets were closed, or when stocks have not yet been listed.</w:t>
      </w:r>
    </w:p>
    <w:p w14:paraId="277C1810" w14:textId="2B0398A7" w:rsidR="005739DC" w:rsidRPr="00572090" w:rsidRDefault="005739DC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A ‘df_master’ dataframe was created with every single calendar day as a row, then all data sources were merged into this df_master; this ensured that no information was lost due to various sampling frequencies.</w:t>
      </w:r>
    </w:p>
    <w:p w14:paraId="05F4D186" w14:textId="77777777" w:rsidR="00605C1A" w:rsidRDefault="00AF245B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Since GDP data was only available on a quarterly basis, all the rest of the data had to be resampled to quarterly frequency in order to </w:t>
      </w:r>
      <w:r w:rsidR="005739DC" w:rsidRPr="00572090">
        <w:rPr>
          <w:rFonts w:ascii="Calibri" w:hAnsi="Calibri" w:cs="Calibri"/>
          <w:sz w:val="20"/>
          <w:szCs w:val="20"/>
        </w:rPr>
        <w:t>condu</w:t>
      </w:r>
      <w:r w:rsidRPr="00572090">
        <w:rPr>
          <w:rFonts w:ascii="Calibri" w:hAnsi="Calibri" w:cs="Calibri"/>
          <w:sz w:val="20"/>
          <w:szCs w:val="20"/>
        </w:rPr>
        <w:t>ct broader economic analysis</w:t>
      </w:r>
    </w:p>
    <w:p w14:paraId="2D927851" w14:textId="77777777" w:rsidR="00605C1A" w:rsidRDefault="00605C1A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038A56A5" w14:textId="1C16B109" w:rsidR="00572090" w:rsidRPr="00605C1A" w:rsidRDefault="00572090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  <w:u w:val="single"/>
        </w:rPr>
        <w:lastRenderedPageBreak/>
        <w:t>Feature Engineering:</w:t>
      </w:r>
    </w:p>
    <w:p w14:paraId="3AF65488" w14:textId="1E236ACB" w:rsidR="00572090" w:rsidRDefault="00A41565" w:rsidP="00AF245B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</w:t>
      </w:r>
      <w:r w:rsidR="00572090">
        <w:rPr>
          <w:rFonts w:ascii="Calibri" w:hAnsi="Calibri" w:cs="Calibri"/>
          <w:sz w:val="20"/>
          <w:szCs w:val="20"/>
        </w:rPr>
        <w:t>ew columns had to be added to the dataframe in order to work with the data:</w:t>
      </w:r>
    </w:p>
    <w:p w14:paraId="4C0D25BD" w14:textId="77777777" w:rsidR="00572090" w:rsidRDefault="00572090" w:rsidP="00572090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Recession </w:t>
      </w:r>
      <w:r>
        <w:rPr>
          <w:rFonts w:ascii="Calibri" w:hAnsi="Calibri" w:cs="Calibri"/>
          <w:sz w:val="20"/>
          <w:szCs w:val="20"/>
        </w:rPr>
        <w:t>I</w:t>
      </w:r>
      <w:r w:rsidRPr="00572090">
        <w:rPr>
          <w:rFonts w:ascii="Calibri" w:hAnsi="Calibri" w:cs="Calibri"/>
          <w:sz w:val="20"/>
          <w:szCs w:val="20"/>
        </w:rPr>
        <w:t>ndicator</w:t>
      </w:r>
      <w:r>
        <w:rPr>
          <w:rFonts w:ascii="Calibri" w:hAnsi="Calibri" w:cs="Calibri"/>
          <w:sz w:val="20"/>
          <w:szCs w:val="20"/>
        </w:rPr>
        <w:t>:</w:t>
      </w:r>
    </w:p>
    <w:p w14:paraId="26870E76" w14:textId="77777777" w:rsidR="00572090" w:rsidRDefault="00572090" w:rsidP="00572090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(0) / Yes (1)</w:t>
      </w:r>
    </w:p>
    <w:p w14:paraId="0F80E6CE" w14:textId="0C528215" w:rsidR="005739DC" w:rsidRDefault="00572090" w:rsidP="00572090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Applied </w:t>
      </w:r>
      <w:r w:rsidRPr="00572090">
        <w:rPr>
          <w:rFonts w:ascii="Calibri" w:hAnsi="Calibri" w:cs="Calibri"/>
          <w:sz w:val="20"/>
          <w:szCs w:val="20"/>
        </w:rPr>
        <w:t>Sahm Rule</w:t>
      </w:r>
      <w:r>
        <w:rPr>
          <w:rFonts w:ascii="Calibri" w:hAnsi="Calibri" w:cs="Calibri"/>
          <w:sz w:val="20"/>
          <w:szCs w:val="20"/>
        </w:rPr>
        <w:t xml:space="preserve">: </w:t>
      </w:r>
      <w:r w:rsidRPr="00572090">
        <w:rPr>
          <w:rFonts w:ascii="Calibri" w:hAnsi="Calibri" w:cs="Calibri"/>
          <w:sz w:val="20"/>
          <w:szCs w:val="20"/>
        </w:rPr>
        <w:t>3-month moving average of Unemployment Rate rises by 0.5%+ above its 12-month low</w:t>
      </w:r>
    </w:p>
    <w:p w14:paraId="2A60498E" w14:textId="2BA070E8" w:rsidR="00572090" w:rsidRDefault="00605C1A" w:rsidP="00572090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Economic </w:t>
      </w:r>
      <w:r w:rsidR="00572090">
        <w:rPr>
          <w:rFonts w:ascii="Calibri" w:hAnsi="Calibri" w:cs="Calibri"/>
          <w:sz w:val="20"/>
          <w:szCs w:val="20"/>
        </w:rPr>
        <w:t>Output Gap</w:t>
      </w:r>
      <w:r>
        <w:rPr>
          <w:rFonts w:ascii="Calibri" w:hAnsi="Calibri" w:cs="Calibri"/>
          <w:sz w:val="20"/>
          <w:szCs w:val="20"/>
        </w:rPr>
        <w:t>:</w:t>
      </w:r>
    </w:p>
    <w:p w14:paraId="2CA07DF0" w14:textId="54536CE6" w:rsidR="00605C1A" w:rsidRPr="00605C1A" w:rsidRDefault="00605C1A" w:rsidP="00605C1A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</w:t>
      </w:r>
      <w:r w:rsidRPr="00605C1A">
        <w:rPr>
          <w:rFonts w:ascii="Calibri" w:hAnsi="Calibri" w:cs="Calibri"/>
          <w:sz w:val="20"/>
          <w:szCs w:val="20"/>
        </w:rPr>
        <w:t>epresents percentage deviation of actual economy from its long-term sustainable tren</w:t>
      </w:r>
      <w:r>
        <w:rPr>
          <w:rFonts w:ascii="Calibri" w:hAnsi="Calibri" w:cs="Calibri"/>
          <w:sz w:val="20"/>
          <w:szCs w:val="20"/>
        </w:rPr>
        <w:t>d</w:t>
      </w:r>
    </w:p>
    <w:p w14:paraId="3BB96995" w14:textId="3830AD44" w:rsidR="00605C1A" w:rsidRPr="00605C1A" w:rsidRDefault="00605C1A" w:rsidP="00B70798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Applied Hodrick-Prescott (HP) Filter to separate GDP (log scale) time series into long-term trend vs cyclical component to determine 'Output Gap'</w:t>
      </w:r>
    </w:p>
    <w:p w14:paraId="5ECD6952" w14:textId="6D8269FE" w:rsidR="00572090" w:rsidRDefault="00572090" w:rsidP="00605C1A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Positive Output</w:t>
      </w:r>
      <w:r w:rsidR="00605C1A">
        <w:rPr>
          <w:rFonts w:ascii="Calibri" w:hAnsi="Calibri" w:cs="Calibri"/>
          <w:sz w:val="20"/>
          <w:szCs w:val="20"/>
        </w:rPr>
        <w:t xml:space="preserve"> </w:t>
      </w:r>
      <w:r w:rsidRPr="00605C1A">
        <w:rPr>
          <w:rFonts w:ascii="Calibri" w:hAnsi="Calibri" w:cs="Calibri"/>
          <w:sz w:val="20"/>
          <w:szCs w:val="20"/>
        </w:rPr>
        <w:t>Gap: economy is 'overheating' (actual GDP higher than long-term trend)</w:t>
      </w:r>
    </w:p>
    <w:p w14:paraId="094E59F1" w14:textId="77777777" w:rsidR="00572090" w:rsidRPr="00572090" w:rsidRDefault="00572090" w:rsidP="00605C1A">
      <w:pPr>
        <w:pStyle w:val="ListParagraph"/>
        <w:numPr>
          <w:ilvl w:val="2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Interpretation: high demand, factories are running at max capacity, labor market is likely tight (low UNRATE)</w:t>
      </w:r>
    </w:p>
    <w:p w14:paraId="1DDD1C4A" w14:textId="77777777" w:rsidR="00572090" w:rsidRPr="00572090" w:rsidRDefault="00572090" w:rsidP="00605C1A">
      <w:pPr>
        <w:pStyle w:val="ListParagraph"/>
        <w:numPr>
          <w:ilvl w:val="2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Risk: typically leads to rising inflation (CPIAUCSL)</w:t>
      </w:r>
    </w:p>
    <w:p w14:paraId="4692FD07" w14:textId="5275881F" w:rsidR="00572090" w:rsidRPr="00572090" w:rsidRDefault="00572090" w:rsidP="00605C1A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Negative Output</w:t>
      </w:r>
      <w:r w:rsidR="00605C1A">
        <w:rPr>
          <w:rFonts w:ascii="Calibri" w:hAnsi="Calibri" w:cs="Calibri"/>
          <w:sz w:val="20"/>
          <w:szCs w:val="20"/>
        </w:rPr>
        <w:t xml:space="preserve"> </w:t>
      </w:r>
      <w:r w:rsidRPr="00572090">
        <w:rPr>
          <w:rFonts w:ascii="Calibri" w:hAnsi="Calibri" w:cs="Calibri"/>
          <w:sz w:val="20"/>
          <w:szCs w:val="20"/>
        </w:rPr>
        <w:t>Gap: 'slack' in the economy (actual GDP below its potential)</w:t>
      </w:r>
    </w:p>
    <w:p w14:paraId="1001CD96" w14:textId="77777777" w:rsidR="00572090" w:rsidRPr="00572090" w:rsidRDefault="00572090" w:rsidP="00605C1A">
      <w:pPr>
        <w:pStyle w:val="ListParagraph"/>
        <w:numPr>
          <w:ilvl w:val="2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Interpretation: economy is underperforming, factories are idle, and unemployment (UNRATE) is usually rising</w:t>
      </w:r>
    </w:p>
    <w:p w14:paraId="3038B761" w14:textId="03AD7984" w:rsidR="00572090" w:rsidRPr="00572090" w:rsidRDefault="00572090" w:rsidP="00605C1A">
      <w:pPr>
        <w:pStyle w:val="ListParagraph"/>
        <w:numPr>
          <w:ilvl w:val="2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Deep negative values are almost always associated with Recessions</w:t>
      </w:r>
    </w:p>
    <w:p w14:paraId="1F1F995B" w14:textId="3E73DC80" w:rsidR="00605C1A" w:rsidRDefault="00572090" w:rsidP="00605C1A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Slope of Output</w:t>
      </w:r>
      <w:r w:rsidR="00605C1A">
        <w:rPr>
          <w:rFonts w:ascii="Calibri" w:hAnsi="Calibri" w:cs="Calibri"/>
          <w:sz w:val="20"/>
          <w:szCs w:val="20"/>
        </w:rPr>
        <w:t xml:space="preserve"> </w:t>
      </w:r>
      <w:r w:rsidRPr="00572090">
        <w:rPr>
          <w:rFonts w:ascii="Calibri" w:hAnsi="Calibri" w:cs="Calibri"/>
          <w:sz w:val="20"/>
          <w:szCs w:val="20"/>
        </w:rPr>
        <w:t>Gap: indicates business cycle</w:t>
      </w:r>
    </w:p>
    <w:p w14:paraId="4BEF2241" w14:textId="77777777" w:rsidR="00605C1A" w:rsidRDefault="00605C1A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2ED36272" w14:textId="1A4B0AEF" w:rsidR="00605C1A" w:rsidRPr="00605C1A" w:rsidRDefault="00605C1A" w:rsidP="00605C1A">
      <w:p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  <w:u w:val="single"/>
        </w:rPr>
        <w:lastRenderedPageBreak/>
        <w:t>S&amp;P500 vs Economic Output Gap:</w:t>
      </w:r>
    </w:p>
    <w:p w14:paraId="565C2CA2" w14:textId="58D30E65" w:rsidR="00572090" w:rsidRDefault="00605C1A" w:rsidP="00605C1A">
      <w:pPr>
        <w:rPr>
          <w:rFonts w:ascii="Calibri" w:hAnsi="Calibri" w:cs="Calibri"/>
          <w:sz w:val="20"/>
          <w:szCs w:val="20"/>
        </w:rPr>
      </w:pPr>
      <w:r>
        <w:rPr>
          <w:noProof/>
        </w:rPr>
        <w:drawing>
          <wp:inline distT="0" distB="0" distL="0" distR="0" wp14:anchorId="20B74474" wp14:editId="55344F95">
            <wp:extent cx="5943600" cy="2949575"/>
            <wp:effectExtent l="0" t="0" r="0" b="3175"/>
            <wp:docPr id="1" name="Picture 1" descr="No description has been provided for this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has been provided for this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22966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Leading Indicator: S&amp;P500 prices in economic downturns &amp; recoveries months before GDP reflects them</w:t>
      </w:r>
    </w:p>
    <w:p w14:paraId="202CC585" w14:textId="77777777" w:rsidR="00605C1A" w:rsidRDefault="00605C1A" w:rsidP="00D65FB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For example, 2008 financial crisis:</w:t>
      </w:r>
    </w:p>
    <w:p w14:paraId="505F164F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S&amp;P500 started declining in late 2007, while Output Gap was still positive / economy still overheating for several months before finally turning negative)</w:t>
      </w:r>
    </w:p>
    <w:p w14:paraId="1C609142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S&amp;P500 started increasing in 2009, while Output Gap was still very negative</w:t>
      </w:r>
    </w:p>
    <w:p w14:paraId="57F9A5C0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2020 Shock Event (COVID-19): the drop in Output Gap was much more extreme (size &amp; velocity) than during other economic cycles (output gap widened gradually). The S&amp;P500 followed instantly, but also recovered at a record pace. During shock events the leading nature of the market is compressed into weeks / days rather than quarters.</w:t>
      </w:r>
    </w:p>
    <w:p w14:paraId="1055B9AC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Negative Output Gap: economy is performing below potential</w:t>
      </w:r>
    </w:p>
    <w:p w14:paraId="2F5150EB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When S&amp;P500 increasing while Output Gap still negative, investors are anticipating recovery before it actually shows up in GDP data.</w:t>
      </w:r>
    </w:p>
    <w:p w14:paraId="49EF7450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Positive Output Gap: economy is overheating</w:t>
      </w:r>
    </w:p>
    <w:p w14:paraId="6C264936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When S&amp;P500 flattens / drops while Output Gap still positive, the Federal Reserve will raise interest rates to cool the economy (bad for stock</w:t>
      </w:r>
      <w:r>
        <w:rPr>
          <w:rFonts w:ascii="Calibri" w:hAnsi="Calibri" w:cs="Calibri"/>
          <w:sz w:val="20"/>
          <w:szCs w:val="20"/>
        </w:rPr>
        <w:t xml:space="preserve"> prices)</w:t>
      </w:r>
    </w:p>
    <w:p w14:paraId="36343BA5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Current Trends: Output Gap currently in negative territory; despite high stock prices, the real economy is performing slightly (~1%) below its calculated potential</w:t>
      </w:r>
    </w:p>
    <w:p w14:paraId="3365053A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Recession Bars: economic context for S&amp;P500 vs Output Gap</w:t>
      </w:r>
    </w:p>
    <w:p w14:paraId="22789220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Recession Defined by Sahm Rule: 3-month moving average of Unemployment Rate rises by 0.5%+ above its 12-month low</w:t>
      </w:r>
    </w:p>
    <w:p w14:paraId="48FB0E53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Economic Troughs: Output Gaps' lowest points usually during recessions (inside gray shaded areas)</w:t>
      </w:r>
    </w:p>
    <w:p w14:paraId="5B75BB64" w14:textId="564F95B1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Stock Market Recoveries: S&amp;P500 usually starts to recover before recessions (gray shaded areas) end, pricing in eventual recovery</w:t>
      </w:r>
    </w:p>
    <w:p w14:paraId="462E8CE7" w14:textId="77777777" w:rsidR="00605C1A" w:rsidRDefault="00605C1A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7E73F387" w14:textId="039F06D5" w:rsidR="0034640F" w:rsidRDefault="0034640F" w:rsidP="00AF245B">
      <w:pPr>
        <w:rPr>
          <w:rFonts w:ascii="Calibri" w:hAnsi="Calibri" w:cs="Calibri"/>
          <w:sz w:val="20"/>
          <w:szCs w:val="20"/>
          <w:u w:val="single"/>
        </w:rPr>
      </w:pPr>
      <w:r w:rsidRPr="0034640F">
        <w:rPr>
          <w:rFonts w:ascii="Calibri" w:hAnsi="Calibri" w:cs="Calibri"/>
          <w:sz w:val="20"/>
          <w:szCs w:val="20"/>
          <w:u w:val="single"/>
        </w:rPr>
        <w:lastRenderedPageBreak/>
        <w:t>S&amp;P500 vs Yield Curve</w:t>
      </w:r>
      <w:r>
        <w:rPr>
          <w:rFonts w:ascii="Calibri" w:hAnsi="Calibri" w:cs="Calibri"/>
          <w:sz w:val="20"/>
          <w:szCs w:val="20"/>
          <w:u w:val="single"/>
        </w:rPr>
        <w:t xml:space="preserve"> (Yield Spread)</w:t>
      </w:r>
      <w:r w:rsidRPr="0034640F">
        <w:rPr>
          <w:rFonts w:ascii="Calibri" w:hAnsi="Calibri" w:cs="Calibri"/>
          <w:sz w:val="20"/>
          <w:szCs w:val="20"/>
          <w:u w:val="single"/>
        </w:rPr>
        <w:t>:</w:t>
      </w:r>
    </w:p>
    <w:p w14:paraId="2809D355" w14:textId="4833C1CC" w:rsidR="0034640F" w:rsidRDefault="00605C1A" w:rsidP="0034640F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7B26EEEE" wp14:editId="1D142FEC">
            <wp:extent cx="5879592" cy="2916936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592" cy="29169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EF4C23" w14:textId="1246D712" w:rsidR="0034640F" w:rsidRDefault="0034640F" w:rsidP="0034640F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Yield Curve (Yield Spread): </w:t>
      </w:r>
      <w:r w:rsidRPr="00605C1A">
        <w:rPr>
          <w:rFonts w:ascii="Calibri" w:hAnsi="Calibri" w:cs="Calibri"/>
          <w:sz w:val="20"/>
          <w:szCs w:val="20"/>
        </w:rPr>
        <w:t>Long-Term Interest Rate (DGS10: 10-Year Treasury Rate) vs Short-Term Interest Rate (FEDFUNDS: Federal Funds Rate)</w:t>
      </w:r>
    </w:p>
    <w:p w14:paraId="60F1AA3A" w14:textId="77777777" w:rsidR="0034640F" w:rsidRPr="00605C1A" w:rsidRDefault="0034640F" w:rsidP="0034640F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Yield Curve inversion occurs when short-term rates (FEDFUNDS: Federal Funds Rate) are higher than long-term rates (DGS10: 10-Year Treasury Rate)</w:t>
      </w:r>
    </w:p>
    <w:p w14:paraId="144DFC7D" w14:textId="049E85A8" w:rsidR="0034640F" w:rsidRDefault="0034640F" w:rsidP="0034640F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Yield Curve inversions</w:t>
      </w:r>
      <w:r>
        <w:rPr>
          <w:rFonts w:ascii="Calibri" w:hAnsi="Calibri" w:cs="Calibri"/>
          <w:sz w:val="20"/>
          <w:szCs w:val="20"/>
        </w:rPr>
        <w:t xml:space="preserve"> (negative Yield Spread) are lead indicators </w:t>
      </w:r>
      <w:r w:rsidRPr="00605C1A">
        <w:rPr>
          <w:rFonts w:ascii="Calibri" w:hAnsi="Calibri" w:cs="Calibri"/>
          <w:sz w:val="20"/>
          <w:szCs w:val="20"/>
        </w:rPr>
        <w:t>of upcoming recessions</w:t>
      </w:r>
      <w:r>
        <w:rPr>
          <w:rFonts w:ascii="Calibri" w:hAnsi="Calibri" w:cs="Calibri"/>
          <w:sz w:val="20"/>
          <w:szCs w:val="20"/>
        </w:rPr>
        <w:t>:</w:t>
      </w:r>
    </w:p>
    <w:p w14:paraId="61D71312" w14:textId="77777777" w:rsidR="0034640F" w:rsidRDefault="0034640F" w:rsidP="0034640F">
      <w:pPr>
        <w:pStyle w:val="ListParagraph"/>
        <w:numPr>
          <w:ilvl w:val="1"/>
          <w:numId w:val="6"/>
        </w:numPr>
        <w:rPr>
          <w:rFonts w:ascii="Calibri" w:hAnsi="Calibri" w:cs="Calibri"/>
          <w:sz w:val="20"/>
          <w:szCs w:val="20"/>
        </w:rPr>
      </w:pPr>
      <w:r w:rsidRPr="0034640F">
        <w:rPr>
          <w:rFonts w:ascii="Calibri" w:hAnsi="Calibri" w:cs="Calibri"/>
          <w:sz w:val="20"/>
          <w:szCs w:val="20"/>
        </w:rPr>
        <w:t>Normal Yield Curve (Positive Spread): Investors demand higher returns for locking in their money for longer periods; this signals a healthy, growing economy</w:t>
      </w:r>
    </w:p>
    <w:p w14:paraId="2B586D1D" w14:textId="77777777" w:rsidR="0034640F" w:rsidRDefault="0034640F" w:rsidP="0034640F">
      <w:pPr>
        <w:pStyle w:val="ListParagraph"/>
        <w:numPr>
          <w:ilvl w:val="1"/>
          <w:numId w:val="6"/>
        </w:numPr>
        <w:rPr>
          <w:rFonts w:ascii="Calibri" w:hAnsi="Calibri" w:cs="Calibri"/>
          <w:sz w:val="20"/>
          <w:szCs w:val="20"/>
        </w:rPr>
      </w:pPr>
      <w:r w:rsidRPr="0034640F">
        <w:rPr>
          <w:rFonts w:ascii="Calibri" w:hAnsi="Calibri" w:cs="Calibri"/>
          <w:sz w:val="20"/>
          <w:szCs w:val="20"/>
        </w:rPr>
        <w:t>Inverted Yield Curve (Negative Spread): Investors are worried about the future, so they are willing to accept lower yields for longer-term bonds just to safely park their cash. It also indicates that the Federal Reserve has raised short-term interest rates aggressively to fight inflation.</w:t>
      </w:r>
    </w:p>
    <w:p w14:paraId="0775AB28" w14:textId="77777777" w:rsidR="0034640F" w:rsidRDefault="0034640F" w:rsidP="0034640F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34640F">
        <w:rPr>
          <w:rFonts w:ascii="Calibri" w:hAnsi="Calibri" w:cs="Calibri"/>
          <w:sz w:val="20"/>
          <w:szCs w:val="20"/>
        </w:rPr>
        <w:t>The S&amp;P500 follows the Yield Curve on a few month lag before recessions start</w:t>
      </w:r>
    </w:p>
    <w:p w14:paraId="424E0140" w14:textId="02F66EDA" w:rsidR="00063EF3" w:rsidRDefault="0034640F" w:rsidP="00063EF3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34640F">
        <w:rPr>
          <w:rFonts w:ascii="Calibri" w:hAnsi="Calibri" w:cs="Calibri"/>
          <w:sz w:val="20"/>
          <w:szCs w:val="20"/>
        </w:rPr>
        <w:t>The S&amp;P500 often crashes after the Yield Curve starts to increase again, as the Fed panic cuts short-term interest rates as the economy begins to break</w:t>
      </w:r>
    </w:p>
    <w:p w14:paraId="430750ED" w14:textId="77777777" w:rsidR="00063EF3" w:rsidRDefault="00063EF3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4B89DD2A" w14:textId="4F258DA5" w:rsidR="00063EF3" w:rsidRDefault="00063EF3" w:rsidP="00063EF3">
      <w:p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  <w:u w:val="single"/>
        </w:rPr>
        <w:lastRenderedPageBreak/>
        <w:t>Recession Probability Model:</w:t>
      </w:r>
    </w:p>
    <w:p w14:paraId="2D2F7AB6" w14:textId="2A467E73" w:rsidR="00063EF3" w:rsidRDefault="00063EF3" w:rsidP="00063EF3">
      <w:p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noProof/>
          <w:sz w:val="20"/>
          <w:szCs w:val="20"/>
          <w:u w:val="single"/>
        </w:rPr>
        <w:drawing>
          <wp:inline distT="0" distB="0" distL="0" distR="0" wp14:anchorId="7AF11316" wp14:editId="6D6DB939">
            <wp:extent cx="5870448" cy="29169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448" cy="29169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8E13B0" w14:textId="3A1B8572" w:rsidR="00063EF3" w:rsidRPr="00063EF3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</w:rPr>
        <w:t>Used Logistic Regression to develop Recession Probability Model:</w:t>
      </w:r>
    </w:p>
    <w:p w14:paraId="1B57B06B" w14:textId="01D3B8C9" w:rsidR="00063EF3" w:rsidRPr="00063EF3" w:rsidRDefault="00063EF3" w:rsidP="00063EF3">
      <w:pPr>
        <w:pStyle w:val="ListParagraph"/>
        <w:numPr>
          <w:ilvl w:val="1"/>
          <w:numId w:val="8"/>
        </w:num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</w:rPr>
        <w:t>Dependent Variable: Recession Indicator (engineered binary variable based on Sahm rule)</w:t>
      </w:r>
    </w:p>
    <w:p w14:paraId="58FF320E" w14:textId="0554A124" w:rsidR="00063EF3" w:rsidRPr="00063EF3" w:rsidRDefault="00063EF3" w:rsidP="00063EF3">
      <w:pPr>
        <w:pStyle w:val="ListParagraph"/>
        <w:numPr>
          <w:ilvl w:val="1"/>
          <w:numId w:val="8"/>
        </w:num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</w:rPr>
        <w:t>Independent Variables:</w:t>
      </w:r>
    </w:p>
    <w:p w14:paraId="334E9961" w14:textId="72640DA4" w:rsidR="00063EF3" w:rsidRPr="00063EF3" w:rsidRDefault="00063EF3" w:rsidP="00063EF3">
      <w:pPr>
        <w:pStyle w:val="ListParagraph"/>
        <w:numPr>
          <w:ilvl w:val="2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Yield</w:t>
      </w:r>
      <w:r w:rsidR="00A41565">
        <w:rPr>
          <w:rFonts w:ascii="Calibri" w:hAnsi="Calibri" w:cs="Calibri"/>
          <w:sz w:val="20"/>
          <w:szCs w:val="20"/>
        </w:rPr>
        <w:t xml:space="preserve"> </w:t>
      </w:r>
      <w:r w:rsidRPr="00063EF3">
        <w:rPr>
          <w:rFonts w:ascii="Calibri" w:hAnsi="Calibri" w:cs="Calibri"/>
          <w:sz w:val="20"/>
          <w:szCs w:val="20"/>
        </w:rPr>
        <w:t>Spread: often goes negative / inverts before a recession</w:t>
      </w:r>
    </w:p>
    <w:p w14:paraId="695EDDED" w14:textId="3911DC0E" w:rsidR="00063EF3" w:rsidRPr="00063EF3" w:rsidRDefault="00063EF3" w:rsidP="00063EF3">
      <w:pPr>
        <w:pStyle w:val="ListParagraph"/>
        <w:numPr>
          <w:ilvl w:val="2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Unemployment Rate (UNRATE): spikes during economic contractions</w:t>
      </w:r>
    </w:p>
    <w:p w14:paraId="6B7444A8" w14:textId="599336D1" w:rsidR="00063EF3" w:rsidRDefault="00063EF3" w:rsidP="00063EF3">
      <w:pPr>
        <w:pStyle w:val="ListParagraph"/>
        <w:numPr>
          <w:ilvl w:val="2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Fed Funds Rate (FEDFUNDS): high rates can cool the economy too much, leading to recession</w:t>
      </w:r>
    </w:p>
    <w:p w14:paraId="4C8F47EC" w14:textId="77777777" w:rsidR="00063EF3" w:rsidRDefault="00063EF3" w:rsidP="00804D57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The Recession Probability Model:</w:t>
      </w:r>
    </w:p>
    <w:p w14:paraId="7A0E94E6" w14:textId="670F2F1D" w:rsidR="00063EF3" w:rsidRPr="00063EF3" w:rsidRDefault="00063EF3" w:rsidP="00063EF3">
      <w:pPr>
        <w:ind w:left="720" w:firstLine="720"/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-1.87 - 0.08 Yield Spread + 1.2 Unemployment Rate + 0.21 Fed Funds Rate</w:t>
      </w:r>
    </w:p>
    <w:p w14:paraId="0A3E8505" w14:textId="77777777" w:rsidR="00063EF3" w:rsidRPr="00063EF3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As seen from the graph above, the model is fairly good at predicting recessions.</w:t>
      </w:r>
    </w:p>
    <w:p w14:paraId="5CB8DE64" w14:textId="77777777" w:rsidR="00063EF3" w:rsidRPr="00063EF3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Unemployment Rate: most significant predictor; a sharp rise in the unemployment rate is the most reliable sign that a recession is fast approaching</w:t>
      </w:r>
    </w:p>
    <w:p w14:paraId="3B3884EF" w14:textId="77777777" w:rsidR="00063EF3" w:rsidRPr="00063EF3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Yield Curve: leading indicator, as it often inverts (as seen above) months before a recession</w:t>
      </w:r>
    </w:p>
    <w:p w14:paraId="0FC18BDF" w14:textId="1F08DD12" w:rsidR="00A41565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Fed Fund Rate: when the Federal Reserve raises rates to combat inflation during expansions / peaks, it often leads to contraction / recession</w:t>
      </w:r>
    </w:p>
    <w:p w14:paraId="3215C220" w14:textId="77777777" w:rsidR="00A41565" w:rsidRDefault="00A4156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0294BC4F" w14:textId="77557C81" w:rsidR="00063EF3" w:rsidRDefault="00A41565" w:rsidP="00A41565">
      <w:p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  <w:u w:val="single"/>
        </w:rPr>
        <w:lastRenderedPageBreak/>
        <w:t>Sector Sensitivity:</w:t>
      </w:r>
    </w:p>
    <w:p w14:paraId="11D7E060" w14:textId="4CFAFF35" w:rsidR="00A41565" w:rsidRPr="00A41565" w:rsidRDefault="00A41565" w:rsidP="00A41565">
      <w:p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noProof/>
          <w:sz w:val="20"/>
          <w:szCs w:val="20"/>
          <w:u w:val="single"/>
        </w:rPr>
        <w:drawing>
          <wp:inline distT="0" distB="0" distL="0" distR="0" wp14:anchorId="7E5BB21C" wp14:editId="541D7450">
            <wp:extent cx="4526280" cy="2944368"/>
            <wp:effectExtent l="0" t="0" r="762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29443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BFF88B" w14:textId="0E44632F" w:rsidR="00605C1A" w:rsidRDefault="00A41565" w:rsidP="00A41565">
      <w:pPr>
        <w:pStyle w:val="ListParagraph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Average sector returns correlation with GDP growth</w:t>
      </w:r>
    </w:p>
    <w:p w14:paraId="32813C78" w14:textId="77777777" w:rsidR="00A41565" w:rsidRPr="00A41565" w:rsidRDefault="00A41565" w:rsidP="00A41565">
      <w:pPr>
        <w:pStyle w:val="ListParagraph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A41565">
        <w:rPr>
          <w:rFonts w:ascii="Calibri" w:hAnsi="Calibri" w:cs="Calibri"/>
          <w:sz w:val="20"/>
          <w:szCs w:val="20"/>
        </w:rPr>
        <w:t>Cyclical Industries: Energy, Basic Materials, and Industrials are most correlated with GDP Growth (35%, 27%, and 26% respectively)</w:t>
      </w:r>
    </w:p>
    <w:p w14:paraId="22F9A34F" w14:textId="4CB5B8EE" w:rsidR="00A41565" w:rsidRPr="00A41565" w:rsidRDefault="00A41565" w:rsidP="00A41565">
      <w:pPr>
        <w:pStyle w:val="ListParagraph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A41565">
        <w:rPr>
          <w:rFonts w:ascii="Calibri" w:hAnsi="Calibri" w:cs="Calibri"/>
          <w:sz w:val="20"/>
          <w:szCs w:val="20"/>
        </w:rPr>
        <w:t xml:space="preserve">Defensive Industries: </w:t>
      </w:r>
      <w:r w:rsidR="00064EE0" w:rsidRPr="00A41565">
        <w:rPr>
          <w:rFonts w:ascii="Calibri" w:hAnsi="Calibri" w:cs="Calibri"/>
          <w:sz w:val="20"/>
          <w:szCs w:val="20"/>
        </w:rPr>
        <w:t>Healthcare</w:t>
      </w:r>
      <w:r w:rsidRPr="00A41565">
        <w:rPr>
          <w:rFonts w:ascii="Calibri" w:hAnsi="Calibri" w:cs="Calibri"/>
          <w:sz w:val="20"/>
          <w:szCs w:val="20"/>
        </w:rPr>
        <w:t xml:space="preserve"> and Utilities are least correlated with GDP Growth (9% and 10% respectively)</w:t>
      </w:r>
    </w:p>
    <w:p w14:paraId="3A0685AA" w14:textId="77777777" w:rsidR="00064EE0" w:rsidRDefault="00A41565" w:rsidP="00AF245B">
      <w:pPr>
        <w:pStyle w:val="ListParagraph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A41565">
        <w:rPr>
          <w:rFonts w:ascii="Calibri" w:hAnsi="Calibri" w:cs="Calibri"/>
          <w:sz w:val="20"/>
          <w:szCs w:val="20"/>
        </w:rPr>
        <w:t>As an investment strategy</w:t>
      </w:r>
      <w:r w:rsidR="00064EE0">
        <w:rPr>
          <w:rFonts w:ascii="Calibri" w:hAnsi="Calibri" w:cs="Calibri"/>
          <w:sz w:val="20"/>
          <w:szCs w:val="20"/>
        </w:rPr>
        <w:t>:</w:t>
      </w:r>
    </w:p>
    <w:p w14:paraId="0E58E4F3" w14:textId="4388B746" w:rsidR="00064EE0" w:rsidRDefault="00064EE0" w:rsidP="00064EE0">
      <w:pPr>
        <w:pStyle w:val="ListParagraph"/>
        <w:numPr>
          <w:ilvl w:val="1"/>
          <w:numId w:val="9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Early recovery / economic expansion:</w:t>
      </w:r>
      <w:r w:rsidR="00A41565" w:rsidRPr="00A41565">
        <w:rPr>
          <w:rFonts w:ascii="Calibri" w:hAnsi="Calibri" w:cs="Calibri"/>
          <w:sz w:val="20"/>
          <w:szCs w:val="20"/>
        </w:rPr>
        <w:t xml:space="preserve"> move investments into </w:t>
      </w:r>
      <w:r>
        <w:rPr>
          <w:rFonts w:ascii="Calibri" w:hAnsi="Calibri" w:cs="Calibri"/>
          <w:sz w:val="20"/>
          <w:szCs w:val="20"/>
        </w:rPr>
        <w:t>highly cyclical industries</w:t>
      </w:r>
    </w:p>
    <w:p w14:paraId="2D35758B" w14:textId="60D8FF9A" w:rsidR="00064EE0" w:rsidRPr="00064EE0" w:rsidRDefault="00064EE0" w:rsidP="00064EE0">
      <w:pPr>
        <w:pStyle w:val="ListParagraph"/>
        <w:numPr>
          <w:ilvl w:val="1"/>
          <w:numId w:val="9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Late expansion / peaks: move investments from market into safe havens (defensive industries are still positively correlated with GDP growth)</w:t>
      </w:r>
    </w:p>
    <w:sectPr w:rsidR="00064EE0" w:rsidRPr="00064E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B7B13"/>
    <w:multiLevelType w:val="hybridMultilevel"/>
    <w:tmpl w:val="DBBE8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83EF0"/>
    <w:multiLevelType w:val="hybridMultilevel"/>
    <w:tmpl w:val="94200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D4605"/>
    <w:multiLevelType w:val="hybridMultilevel"/>
    <w:tmpl w:val="FB18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BB2410"/>
    <w:multiLevelType w:val="hybridMultilevel"/>
    <w:tmpl w:val="508C5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5104C"/>
    <w:multiLevelType w:val="hybridMultilevel"/>
    <w:tmpl w:val="EB666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A82175"/>
    <w:multiLevelType w:val="hybridMultilevel"/>
    <w:tmpl w:val="7F28C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6F1B89"/>
    <w:multiLevelType w:val="hybridMultilevel"/>
    <w:tmpl w:val="F57AE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683A06"/>
    <w:multiLevelType w:val="hybridMultilevel"/>
    <w:tmpl w:val="50623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40697"/>
    <w:multiLevelType w:val="hybridMultilevel"/>
    <w:tmpl w:val="E14A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6332032">
    <w:abstractNumId w:val="8"/>
  </w:num>
  <w:num w:numId="2" w16cid:durableId="2077583911">
    <w:abstractNumId w:val="2"/>
  </w:num>
  <w:num w:numId="3" w16cid:durableId="2103918247">
    <w:abstractNumId w:val="3"/>
  </w:num>
  <w:num w:numId="4" w16cid:durableId="1913586817">
    <w:abstractNumId w:val="7"/>
  </w:num>
  <w:num w:numId="5" w16cid:durableId="125053993">
    <w:abstractNumId w:val="6"/>
  </w:num>
  <w:num w:numId="6" w16cid:durableId="1470709484">
    <w:abstractNumId w:val="1"/>
  </w:num>
  <w:num w:numId="7" w16cid:durableId="680160995">
    <w:abstractNumId w:val="5"/>
  </w:num>
  <w:num w:numId="8" w16cid:durableId="1306665395">
    <w:abstractNumId w:val="0"/>
  </w:num>
  <w:num w:numId="9" w16cid:durableId="8356541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634"/>
    <w:rsid w:val="00063EF3"/>
    <w:rsid w:val="00064EE0"/>
    <w:rsid w:val="0034640F"/>
    <w:rsid w:val="00572090"/>
    <w:rsid w:val="005739DC"/>
    <w:rsid w:val="00605C1A"/>
    <w:rsid w:val="00860A27"/>
    <w:rsid w:val="0091156E"/>
    <w:rsid w:val="009D72FB"/>
    <w:rsid w:val="009F4F15"/>
    <w:rsid w:val="00A41565"/>
    <w:rsid w:val="00A73634"/>
    <w:rsid w:val="00AF245B"/>
    <w:rsid w:val="00D92359"/>
    <w:rsid w:val="00DF6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D8E16"/>
  <w15:chartTrackingRefBased/>
  <w15:docId w15:val="{AB013ADD-94D0-46DC-B3FE-5BE318C4B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63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9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9D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1">
    <w:name w:val="c1"/>
    <w:basedOn w:val="DefaultParagraphFont"/>
    <w:rsid w:val="005739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1053</Words>
  <Characters>6007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Major</dc:creator>
  <cp:keywords/>
  <dc:description/>
  <cp:lastModifiedBy>Miklos Major</cp:lastModifiedBy>
  <cp:revision>8</cp:revision>
  <dcterms:created xsi:type="dcterms:W3CDTF">2026-04-11T20:12:00Z</dcterms:created>
  <dcterms:modified xsi:type="dcterms:W3CDTF">2026-04-11T21:39:00Z</dcterms:modified>
</cp:coreProperties>
</file>