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30B6" w14:textId="60BE162C" w:rsidR="0038429B" w:rsidRPr="0038429B" w:rsidRDefault="0038429B" w:rsidP="0038429B">
      <w:pPr>
        <w:spacing w:line="360" w:lineRule="auto"/>
        <w:rPr>
          <w:rFonts w:ascii="Times New Roman" w:hAnsi="Times New Roman" w:cs="Times New Roman"/>
          <w:b/>
          <w:bCs/>
          <w:sz w:val="28"/>
          <w:szCs w:val="28"/>
          <w:lang w:val="en-NG"/>
        </w:rPr>
      </w:pPr>
      <w:r w:rsidRPr="0038429B">
        <w:rPr>
          <w:rFonts w:ascii="Times New Roman" w:hAnsi="Times New Roman" w:cs="Times New Roman"/>
          <w:b/>
          <w:bCs/>
          <w:sz w:val="28"/>
          <w:szCs w:val="28"/>
          <w:lang w:val="en-NG"/>
        </w:rPr>
        <w:t>Goal</w:t>
      </w:r>
    </w:p>
    <w:p w14:paraId="60333EC9" w14:textId="7DAA71BC" w:rsidR="007969F6"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The goal of this analysis is to examine how stock returns and volatility evolve over time and across sectors</w:t>
      </w:r>
      <w:r w:rsidR="00E03CCC">
        <w:rPr>
          <w:rFonts w:ascii="Times New Roman" w:hAnsi="Times New Roman" w:cs="Times New Roman"/>
          <w:sz w:val="24"/>
          <w:szCs w:val="24"/>
          <w:lang w:val="en-NG"/>
        </w:rPr>
        <w:t>, industries, and companies</w:t>
      </w:r>
      <w:r w:rsidRPr="0038429B">
        <w:rPr>
          <w:rFonts w:ascii="Times New Roman" w:hAnsi="Times New Roman" w:cs="Times New Roman"/>
          <w:sz w:val="24"/>
          <w:szCs w:val="24"/>
          <w:lang w:val="en-NG"/>
        </w:rPr>
        <w:t>, and to leverage these insights to support informed investment decision-making and effective risk management.</w:t>
      </w:r>
    </w:p>
    <w:p w14:paraId="1AB05D05" w14:textId="1EAFFABF" w:rsidR="0038429B" w:rsidRPr="0038429B" w:rsidRDefault="0038429B" w:rsidP="0038429B">
      <w:pPr>
        <w:spacing w:line="360" w:lineRule="auto"/>
        <w:rPr>
          <w:rFonts w:ascii="Times New Roman" w:hAnsi="Times New Roman" w:cs="Times New Roman"/>
          <w:b/>
          <w:bCs/>
          <w:sz w:val="28"/>
          <w:szCs w:val="28"/>
          <w:lang w:val="en-NG"/>
        </w:rPr>
      </w:pPr>
      <w:r w:rsidRPr="0038429B">
        <w:rPr>
          <w:rFonts w:ascii="Times New Roman" w:hAnsi="Times New Roman" w:cs="Times New Roman"/>
          <w:b/>
          <w:bCs/>
          <w:sz w:val="28"/>
          <w:szCs w:val="28"/>
          <w:lang w:val="en-NG"/>
        </w:rPr>
        <w:t>Objectives</w:t>
      </w:r>
    </w:p>
    <w:p w14:paraId="7AED5025"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The key objectives of this study are to:</w:t>
      </w:r>
    </w:p>
    <w:p w14:paraId="7D2898A5" w14:textId="77777777" w:rsidR="0038429B" w:rsidRPr="0038429B" w:rsidRDefault="0038429B" w:rsidP="0038429B">
      <w:pPr>
        <w:numPr>
          <w:ilvl w:val="0"/>
          <w:numId w:val="1"/>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Evaluate market volatility trends across monthly and yearly periods </w:t>
      </w:r>
    </w:p>
    <w:p w14:paraId="1974DFDD" w14:textId="77777777" w:rsidR="0038429B" w:rsidRPr="0038429B" w:rsidRDefault="0038429B" w:rsidP="0038429B">
      <w:pPr>
        <w:numPr>
          <w:ilvl w:val="0"/>
          <w:numId w:val="1"/>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Measure and compare average returns over time </w:t>
      </w:r>
    </w:p>
    <w:p w14:paraId="33BCE6BF" w14:textId="3FB131D0" w:rsidR="0038429B" w:rsidRPr="0038429B" w:rsidRDefault="007969F6" w:rsidP="0038429B">
      <w:pPr>
        <w:numPr>
          <w:ilvl w:val="0"/>
          <w:numId w:val="1"/>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Analyse</w:t>
      </w:r>
      <w:r w:rsidR="0038429B" w:rsidRPr="0038429B">
        <w:rPr>
          <w:rFonts w:ascii="Times New Roman" w:hAnsi="Times New Roman" w:cs="Times New Roman"/>
          <w:sz w:val="24"/>
          <w:szCs w:val="24"/>
          <w:lang w:val="en-NG"/>
        </w:rPr>
        <w:t xml:space="preserve"> monthly versus yearly return patterns to identify seasonality </w:t>
      </w:r>
    </w:p>
    <w:p w14:paraId="70ECEF79" w14:textId="77777777" w:rsidR="0038429B" w:rsidRPr="0038429B" w:rsidRDefault="0038429B" w:rsidP="0038429B">
      <w:pPr>
        <w:numPr>
          <w:ilvl w:val="0"/>
          <w:numId w:val="1"/>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Determine average returns and volatility across sectors, industries, and individual companies </w:t>
      </w:r>
    </w:p>
    <w:p w14:paraId="4A44CA38" w14:textId="77777777" w:rsidR="0038429B" w:rsidRPr="0038429B" w:rsidRDefault="0038429B" w:rsidP="0038429B">
      <w:pPr>
        <w:numPr>
          <w:ilvl w:val="0"/>
          <w:numId w:val="1"/>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Explore the relationship between risk and return at the sector level </w:t>
      </w:r>
    </w:p>
    <w:p w14:paraId="6DC6C006" w14:textId="77777777" w:rsidR="00CF02A4" w:rsidRPr="00CF02A4" w:rsidRDefault="00CF02A4" w:rsidP="00CF02A4">
      <w:pPr>
        <w:spacing w:line="360" w:lineRule="auto"/>
        <w:rPr>
          <w:rFonts w:ascii="Times New Roman" w:eastAsia="Times New Roman" w:hAnsi="Times New Roman" w:cs="Times New Roman"/>
          <w:b/>
          <w:bCs/>
          <w:kern w:val="0"/>
          <w:sz w:val="28"/>
          <w:szCs w:val="28"/>
          <w:lang w:val="en-NG" w:eastAsia="en-NG"/>
          <w14:ligatures w14:val="none"/>
        </w:rPr>
      </w:pPr>
      <w:r w:rsidRPr="00CF02A4">
        <w:rPr>
          <w:rFonts w:ascii="Times New Roman" w:eastAsia="Times New Roman" w:hAnsi="Times New Roman" w:cs="Times New Roman"/>
          <w:b/>
          <w:bCs/>
          <w:kern w:val="0"/>
          <w:sz w:val="28"/>
          <w:szCs w:val="28"/>
          <w:lang w:val="en-NG" w:eastAsia="en-NG"/>
          <w14:ligatures w14:val="none"/>
        </w:rPr>
        <w:t>Data Cleaning and Preparation</w:t>
      </w:r>
    </w:p>
    <w:p w14:paraId="7CC186E9" w14:textId="77777777" w:rsidR="00CF02A4" w:rsidRPr="00CF02A4" w:rsidRDefault="00CF02A4" w:rsidP="00CF02A4">
      <w:p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t>The dataset was thoroughly examined to ensure accuracy, consistency, and suitability for analysis.</w:t>
      </w:r>
    </w:p>
    <w:p w14:paraId="276185AB" w14:textId="77777777" w:rsidR="00CF02A4" w:rsidRPr="00CF02A4" w:rsidRDefault="00CF02A4" w:rsidP="00CF02A4">
      <w:pPr>
        <w:numPr>
          <w:ilvl w:val="0"/>
          <w:numId w:val="20"/>
        </w:num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t xml:space="preserve">The data was reviewed for missing values, inconsistencies, and structural issues across rows and columns </w:t>
      </w:r>
    </w:p>
    <w:p w14:paraId="6351AFAF" w14:textId="77777777" w:rsidR="00CF02A4" w:rsidRPr="00CF02A4" w:rsidRDefault="00CF02A4" w:rsidP="00CF02A4">
      <w:pPr>
        <w:numPr>
          <w:ilvl w:val="0"/>
          <w:numId w:val="20"/>
        </w:num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t xml:space="preserve">All variables were checked, and data types were validated and corrected where necessary </w:t>
      </w:r>
    </w:p>
    <w:p w14:paraId="4FCDC01D" w14:textId="77777777" w:rsidR="00CF02A4" w:rsidRPr="00CF02A4" w:rsidRDefault="00CF02A4" w:rsidP="00CF02A4">
      <w:pPr>
        <w:numPr>
          <w:ilvl w:val="0"/>
          <w:numId w:val="20"/>
        </w:num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t xml:space="preserve">The Date column was converted from an object format to a proper DateTime format to enable time-series analysis </w:t>
      </w:r>
    </w:p>
    <w:p w14:paraId="234FF5D3" w14:textId="77777777" w:rsidR="00CF02A4" w:rsidRPr="00CF02A4" w:rsidRDefault="00CF02A4" w:rsidP="00CF02A4">
      <w:p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t>To improve analytical clarity and relevance:</w:t>
      </w:r>
    </w:p>
    <w:p w14:paraId="4D965899" w14:textId="77777777" w:rsidR="00CF02A4" w:rsidRPr="00CF02A4" w:rsidRDefault="00CF02A4" w:rsidP="00CF02A4">
      <w:pPr>
        <w:numPr>
          <w:ilvl w:val="0"/>
          <w:numId w:val="21"/>
        </w:num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t xml:space="preserve">Irrelevant or redundant variables, including </w:t>
      </w:r>
      <w:proofErr w:type="spellStart"/>
      <w:r w:rsidRPr="00CF02A4">
        <w:rPr>
          <w:rFonts w:ascii="Times New Roman" w:eastAsia="Times New Roman" w:hAnsi="Times New Roman" w:cs="Times New Roman"/>
          <w:kern w:val="0"/>
          <w:sz w:val="24"/>
          <w:szCs w:val="24"/>
          <w:lang w:val="en-NG" w:eastAsia="en-NG"/>
          <w14:ligatures w14:val="none"/>
        </w:rPr>
        <w:t>Daily_Return</w:t>
      </w:r>
      <w:proofErr w:type="spellEnd"/>
      <w:r w:rsidRPr="00CF02A4">
        <w:rPr>
          <w:rFonts w:ascii="Times New Roman" w:eastAsia="Times New Roman" w:hAnsi="Times New Roman" w:cs="Times New Roman"/>
          <w:kern w:val="0"/>
          <w:sz w:val="24"/>
          <w:szCs w:val="24"/>
          <w:lang w:val="en-NG" w:eastAsia="en-NG"/>
          <w14:ligatures w14:val="none"/>
        </w:rPr>
        <w:t xml:space="preserve">, </w:t>
      </w:r>
      <w:proofErr w:type="spellStart"/>
      <w:r w:rsidRPr="00CF02A4">
        <w:rPr>
          <w:rFonts w:ascii="Times New Roman" w:eastAsia="Times New Roman" w:hAnsi="Times New Roman" w:cs="Times New Roman"/>
          <w:kern w:val="0"/>
          <w:sz w:val="24"/>
          <w:szCs w:val="24"/>
          <w:lang w:val="en-NG" w:eastAsia="en-NG"/>
          <w14:ligatures w14:val="none"/>
        </w:rPr>
        <w:t>Weekly_Return</w:t>
      </w:r>
      <w:proofErr w:type="spellEnd"/>
      <w:r w:rsidRPr="00CF02A4">
        <w:rPr>
          <w:rFonts w:ascii="Times New Roman" w:eastAsia="Times New Roman" w:hAnsi="Times New Roman" w:cs="Times New Roman"/>
          <w:kern w:val="0"/>
          <w:sz w:val="24"/>
          <w:szCs w:val="24"/>
          <w:lang w:val="en-NG" w:eastAsia="en-NG"/>
          <w14:ligatures w14:val="none"/>
        </w:rPr>
        <w:t xml:space="preserve">, </w:t>
      </w:r>
      <w:proofErr w:type="spellStart"/>
      <w:r w:rsidRPr="00CF02A4">
        <w:rPr>
          <w:rFonts w:ascii="Times New Roman" w:eastAsia="Times New Roman" w:hAnsi="Times New Roman" w:cs="Times New Roman"/>
          <w:kern w:val="0"/>
          <w:sz w:val="24"/>
          <w:szCs w:val="24"/>
          <w:lang w:val="en-NG" w:eastAsia="en-NG"/>
          <w14:ligatures w14:val="none"/>
        </w:rPr>
        <w:t>Monthly_Return</w:t>
      </w:r>
      <w:proofErr w:type="spellEnd"/>
      <w:r w:rsidRPr="00CF02A4">
        <w:rPr>
          <w:rFonts w:ascii="Times New Roman" w:eastAsia="Times New Roman" w:hAnsi="Times New Roman" w:cs="Times New Roman"/>
          <w:kern w:val="0"/>
          <w:sz w:val="24"/>
          <w:szCs w:val="24"/>
          <w:lang w:val="en-NG" w:eastAsia="en-NG"/>
          <w14:ligatures w14:val="none"/>
        </w:rPr>
        <w:t xml:space="preserve">, SMA50, SMA200, and Volatility, were removed </w:t>
      </w:r>
    </w:p>
    <w:p w14:paraId="1BD1C139" w14:textId="77777777" w:rsidR="00CF02A4" w:rsidRPr="00CF02A4" w:rsidRDefault="00CF02A4" w:rsidP="00CF02A4">
      <w:pPr>
        <w:numPr>
          <w:ilvl w:val="0"/>
          <w:numId w:val="21"/>
        </w:num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t xml:space="preserve">New features were engineered based on their analytical importance and contribution to the study objectives </w:t>
      </w:r>
    </w:p>
    <w:p w14:paraId="58EE60CD" w14:textId="77777777" w:rsidR="00CF02A4" w:rsidRPr="00CF02A4" w:rsidRDefault="00CF02A4" w:rsidP="00CF02A4">
      <w:pPr>
        <w:spacing w:line="360" w:lineRule="auto"/>
        <w:rPr>
          <w:rFonts w:ascii="Times New Roman" w:eastAsia="Times New Roman" w:hAnsi="Times New Roman" w:cs="Times New Roman"/>
          <w:kern w:val="0"/>
          <w:sz w:val="24"/>
          <w:szCs w:val="24"/>
          <w:lang w:val="en-NG" w:eastAsia="en-NG"/>
          <w14:ligatures w14:val="none"/>
        </w:rPr>
      </w:pPr>
      <w:r w:rsidRPr="00CF02A4">
        <w:rPr>
          <w:rFonts w:ascii="Times New Roman" w:eastAsia="Times New Roman" w:hAnsi="Times New Roman" w:cs="Times New Roman"/>
          <w:kern w:val="0"/>
          <w:sz w:val="24"/>
          <w:szCs w:val="24"/>
          <w:lang w:val="en-NG" w:eastAsia="en-NG"/>
          <w14:ligatures w14:val="none"/>
        </w:rPr>
        <w:lastRenderedPageBreak/>
        <w:t>Finally, the dataset was sorted by Ticker and Date to ensure a logical chronological sequence, facilitating accurate time-based analysis.</w:t>
      </w:r>
    </w:p>
    <w:p w14:paraId="3D91BBAA" w14:textId="0971BAA6" w:rsidR="0038429B" w:rsidRPr="0038429B" w:rsidRDefault="0038429B" w:rsidP="0038429B">
      <w:pPr>
        <w:spacing w:line="360" w:lineRule="auto"/>
        <w:rPr>
          <w:rFonts w:ascii="Times New Roman" w:hAnsi="Times New Roman" w:cs="Times New Roman"/>
          <w:b/>
          <w:bCs/>
          <w:sz w:val="28"/>
          <w:szCs w:val="28"/>
          <w:lang w:val="en-NG"/>
        </w:rPr>
      </w:pPr>
      <w:r w:rsidRPr="0038429B">
        <w:rPr>
          <w:rFonts w:ascii="Times New Roman" w:hAnsi="Times New Roman" w:cs="Times New Roman"/>
          <w:b/>
          <w:bCs/>
          <w:sz w:val="28"/>
          <w:szCs w:val="28"/>
          <w:lang w:val="en-NG"/>
        </w:rPr>
        <w:t>Data Analysis</w:t>
      </w:r>
    </w:p>
    <w:p w14:paraId="1AD94D8A" w14:textId="11FB3BA9" w:rsidR="0038429B" w:rsidRPr="0038429B" w:rsidRDefault="0038429B" w:rsidP="0038429B">
      <w:pPr>
        <w:spacing w:line="360" w:lineRule="auto"/>
        <w:rPr>
          <w:rFonts w:ascii="Times New Roman" w:hAnsi="Times New Roman" w:cs="Times New Roman"/>
          <w:b/>
          <w:bCs/>
          <w:sz w:val="24"/>
          <w:szCs w:val="24"/>
          <w:lang w:val="en-NG"/>
        </w:rPr>
      </w:pPr>
      <w:r w:rsidRPr="0038429B">
        <w:rPr>
          <w:rFonts w:ascii="Times New Roman" w:hAnsi="Times New Roman" w:cs="Times New Roman"/>
          <w:b/>
          <w:bCs/>
          <w:sz w:val="24"/>
          <w:szCs w:val="24"/>
          <w:lang w:val="en-NG"/>
        </w:rPr>
        <w:t>Monthly Returns and Volatility</w:t>
      </w:r>
    </w:p>
    <w:p w14:paraId="1D806660" w14:textId="77777777" w:rsidR="0038429B" w:rsidRPr="0038429B" w:rsidRDefault="0038429B" w:rsidP="0038429B">
      <w:pPr>
        <w:numPr>
          <w:ilvl w:val="0"/>
          <w:numId w:val="2"/>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Returns were calculated using closing prices and grouped by ticker </w:t>
      </w:r>
    </w:p>
    <w:p w14:paraId="61E4300A" w14:textId="77777777" w:rsidR="0038429B" w:rsidRPr="0038429B" w:rsidRDefault="0038429B" w:rsidP="0038429B">
      <w:pPr>
        <w:numPr>
          <w:ilvl w:val="0"/>
          <w:numId w:val="2"/>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Time-based features (month, month name, year) were extracted and organized chronologically </w:t>
      </w:r>
    </w:p>
    <w:p w14:paraId="0A13CE32" w14:textId="77777777" w:rsidR="0038429B" w:rsidRPr="0038429B" w:rsidRDefault="0038429B" w:rsidP="0038429B">
      <w:pPr>
        <w:numPr>
          <w:ilvl w:val="0"/>
          <w:numId w:val="2"/>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Average monthly returns and volatility were computed </w:t>
      </w:r>
    </w:p>
    <w:p w14:paraId="34DA107B"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Key Insights:</w:t>
      </w:r>
    </w:p>
    <w:p w14:paraId="2CB720FE" w14:textId="77777777" w:rsidR="0038429B" w:rsidRPr="0038429B" w:rsidRDefault="0038429B" w:rsidP="0038429B">
      <w:pPr>
        <w:numPr>
          <w:ilvl w:val="0"/>
          <w:numId w:val="3"/>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June recorded the lowest volatility, indicating relative market stability </w:t>
      </w:r>
    </w:p>
    <w:p w14:paraId="08796FBE" w14:textId="77777777" w:rsidR="0038429B" w:rsidRPr="0038429B" w:rsidRDefault="0038429B" w:rsidP="0038429B">
      <w:pPr>
        <w:numPr>
          <w:ilvl w:val="0"/>
          <w:numId w:val="3"/>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October exhibited the highest volatility, suggesting increased uncertainty </w:t>
      </w:r>
    </w:p>
    <w:p w14:paraId="35C079BB" w14:textId="77777777" w:rsidR="0038429B" w:rsidRPr="0038429B" w:rsidRDefault="0038429B" w:rsidP="0038429B">
      <w:pPr>
        <w:numPr>
          <w:ilvl w:val="0"/>
          <w:numId w:val="3"/>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September showed negative average returns, consistent with known market seasonality </w:t>
      </w:r>
    </w:p>
    <w:p w14:paraId="340ACD22" w14:textId="77777777" w:rsidR="0038429B" w:rsidRPr="0038429B" w:rsidRDefault="0038429B" w:rsidP="0038429B">
      <w:pPr>
        <w:numPr>
          <w:ilvl w:val="0"/>
          <w:numId w:val="3"/>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November recorded the highest average returns, indicating strong performance </w:t>
      </w:r>
    </w:p>
    <w:p w14:paraId="5F17997C" w14:textId="57E108CE" w:rsidR="0038429B" w:rsidRPr="0038429B" w:rsidRDefault="0038429B" w:rsidP="0038429B">
      <w:pPr>
        <w:spacing w:line="360" w:lineRule="auto"/>
        <w:rPr>
          <w:rFonts w:ascii="Times New Roman" w:hAnsi="Times New Roman" w:cs="Times New Roman"/>
          <w:b/>
          <w:bCs/>
          <w:sz w:val="24"/>
          <w:szCs w:val="24"/>
          <w:lang w:val="en-NG"/>
        </w:rPr>
      </w:pPr>
      <w:r w:rsidRPr="0038429B">
        <w:rPr>
          <w:rFonts w:ascii="Times New Roman" w:hAnsi="Times New Roman" w:cs="Times New Roman"/>
          <w:b/>
          <w:bCs/>
          <w:sz w:val="24"/>
          <w:szCs w:val="24"/>
          <w:lang w:val="en-NG"/>
        </w:rPr>
        <w:t>Yearly Returns and Volatility</w:t>
      </w:r>
    </w:p>
    <w:p w14:paraId="27681EC9" w14:textId="77777777" w:rsidR="0038429B" w:rsidRPr="0038429B" w:rsidRDefault="0038429B" w:rsidP="0038429B">
      <w:pPr>
        <w:numPr>
          <w:ilvl w:val="0"/>
          <w:numId w:val="4"/>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Yearly trends in returns and volatility were analyzed over the 50-year period </w:t>
      </w:r>
    </w:p>
    <w:p w14:paraId="6071DEB5"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Key Insights:</w:t>
      </w:r>
    </w:p>
    <w:p w14:paraId="0B79AFDB" w14:textId="77777777" w:rsidR="0038429B" w:rsidRPr="0038429B" w:rsidRDefault="0038429B" w:rsidP="0038429B">
      <w:pPr>
        <w:numPr>
          <w:ilvl w:val="0"/>
          <w:numId w:val="5"/>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Significant declines in returns were observed during: </w:t>
      </w:r>
    </w:p>
    <w:p w14:paraId="6D74FFB1" w14:textId="77777777" w:rsidR="007969F6" w:rsidRDefault="0038429B" w:rsidP="007969F6">
      <w:pPr>
        <w:pStyle w:val="ListParagraph"/>
        <w:numPr>
          <w:ilvl w:val="0"/>
          <w:numId w:val="17"/>
        </w:numPr>
        <w:spacing w:line="360" w:lineRule="auto"/>
        <w:rPr>
          <w:rFonts w:ascii="Times New Roman" w:hAnsi="Times New Roman" w:cs="Times New Roman"/>
          <w:sz w:val="24"/>
          <w:szCs w:val="24"/>
          <w:lang w:val="en-NG"/>
        </w:rPr>
      </w:pPr>
      <w:r w:rsidRPr="007969F6">
        <w:rPr>
          <w:rFonts w:ascii="Times New Roman" w:hAnsi="Times New Roman" w:cs="Times New Roman"/>
          <w:sz w:val="24"/>
          <w:szCs w:val="24"/>
          <w:lang w:val="en-NG"/>
        </w:rPr>
        <w:t xml:space="preserve">1970–1980 </w:t>
      </w:r>
    </w:p>
    <w:p w14:paraId="3BD2F670" w14:textId="77777777" w:rsidR="007969F6" w:rsidRDefault="0038429B" w:rsidP="007969F6">
      <w:pPr>
        <w:pStyle w:val="ListParagraph"/>
        <w:numPr>
          <w:ilvl w:val="0"/>
          <w:numId w:val="17"/>
        </w:numPr>
        <w:spacing w:line="360" w:lineRule="auto"/>
        <w:rPr>
          <w:rFonts w:ascii="Times New Roman" w:hAnsi="Times New Roman" w:cs="Times New Roman"/>
          <w:sz w:val="24"/>
          <w:szCs w:val="24"/>
          <w:lang w:val="en-NG"/>
        </w:rPr>
      </w:pPr>
      <w:r w:rsidRPr="007969F6">
        <w:rPr>
          <w:rFonts w:ascii="Times New Roman" w:hAnsi="Times New Roman" w:cs="Times New Roman"/>
          <w:sz w:val="24"/>
          <w:szCs w:val="24"/>
          <w:lang w:val="en-NG"/>
        </w:rPr>
        <w:t xml:space="preserve">2000–2010 </w:t>
      </w:r>
    </w:p>
    <w:p w14:paraId="0A341593" w14:textId="17FF6504" w:rsidR="0038429B" w:rsidRPr="007969F6" w:rsidRDefault="0038429B" w:rsidP="007969F6">
      <w:pPr>
        <w:pStyle w:val="ListParagraph"/>
        <w:numPr>
          <w:ilvl w:val="0"/>
          <w:numId w:val="17"/>
        </w:numPr>
        <w:spacing w:line="360" w:lineRule="auto"/>
        <w:rPr>
          <w:rFonts w:ascii="Times New Roman" w:hAnsi="Times New Roman" w:cs="Times New Roman"/>
          <w:sz w:val="24"/>
          <w:szCs w:val="24"/>
          <w:lang w:val="en-NG"/>
        </w:rPr>
      </w:pPr>
      <w:r w:rsidRPr="007969F6">
        <w:rPr>
          <w:rFonts w:ascii="Times New Roman" w:hAnsi="Times New Roman" w:cs="Times New Roman"/>
          <w:sz w:val="24"/>
          <w:szCs w:val="24"/>
          <w:lang w:val="en-NG"/>
        </w:rPr>
        <w:t xml:space="preserve">Early 2020s </w:t>
      </w:r>
    </w:p>
    <w:p w14:paraId="0B2C50DE" w14:textId="77777777" w:rsidR="0038429B" w:rsidRPr="0038429B" w:rsidRDefault="0038429B" w:rsidP="0038429B">
      <w:pPr>
        <w:numPr>
          <w:ilvl w:val="0"/>
          <w:numId w:val="5"/>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The period 2000–2010 recorded the highest volatility, indicating heightened market risk </w:t>
      </w:r>
    </w:p>
    <w:p w14:paraId="3E270B6C" w14:textId="77777777" w:rsidR="0038429B" w:rsidRPr="0038429B" w:rsidRDefault="0038429B" w:rsidP="0038429B">
      <w:pPr>
        <w:numPr>
          <w:ilvl w:val="0"/>
          <w:numId w:val="5"/>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Elevated volatility was also observed during: </w:t>
      </w:r>
    </w:p>
    <w:p w14:paraId="01EA9933" w14:textId="77777777" w:rsidR="007969F6" w:rsidRDefault="0038429B" w:rsidP="007969F6">
      <w:pPr>
        <w:pStyle w:val="ListParagraph"/>
        <w:numPr>
          <w:ilvl w:val="0"/>
          <w:numId w:val="18"/>
        </w:numPr>
        <w:spacing w:line="360" w:lineRule="auto"/>
        <w:rPr>
          <w:rFonts w:ascii="Times New Roman" w:hAnsi="Times New Roman" w:cs="Times New Roman"/>
          <w:sz w:val="24"/>
          <w:szCs w:val="24"/>
          <w:lang w:val="en-NG"/>
        </w:rPr>
      </w:pPr>
      <w:r w:rsidRPr="007969F6">
        <w:rPr>
          <w:rFonts w:ascii="Times New Roman" w:hAnsi="Times New Roman" w:cs="Times New Roman"/>
          <w:sz w:val="24"/>
          <w:szCs w:val="24"/>
          <w:lang w:val="en-NG"/>
        </w:rPr>
        <w:t xml:space="preserve">1980–1990 </w:t>
      </w:r>
    </w:p>
    <w:p w14:paraId="4EC72D39" w14:textId="6A84C0F0" w:rsidR="0038429B" w:rsidRPr="007969F6" w:rsidRDefault="0038429B" w:rsidP="007969F6">
      <w:pPr>
        <w:pStyle w:val="ListParagraph"/>
        <w:numPr>
          <w:ilvl w:val="0"/>
          <w:numId w:val="18"/>
        </w:numPr>
        <w:spacing w:line="360" w:lineRule="auto"/>
        <w:rPr>
          <w:rFonts w:ascii="Times New Roman" w:hAnsi="Times New Roman" w:cs="Times New Roman"/>
          <w:sz w:val="24"/>
          <w:szCs w:val="24"/>
          <w:lang w:val="en-NG"/>
        </w:rPr>
      </w:pPr>
      <w:r w:rsidRPr="007969F6">
        <w:rPr>
          <w:rFonts w:ascii="Times New Roman" w:hAnsi="Times New Roman" w:cs="Times New Roman"/>
          <w:sz w:val="24"/>
          <w:szCs w:val="24"/>
          <w:lang w:val="en-NG"/>
        </w:rPr>
        <w:t xml:space="preserve">2020 </w:t>
      </w:r>
    </w:p>
    <w:p w14:paraId="4A1EB4EE" w14:textId="32EA5725" w:rsidR="0038429B" w:rsidRPr="0038429B" w:rsidRDefault="0038429B" w:rsidP="0038429B">
      <w:pPr>
        <w:spacing w:line="360" w:lineRule="auto"/>
        <w:rPr>
          <w:rFonts w:ascii="Times New Roman" w:hAnsi="Times New Roman" w:cs="Times New Roman"/>
          <w:b/>
          <w:bCs/>
          <w:sz w:val="24"/>
          <w:szCs w:val="24"/>
          <w:lang w:val="en-NG"/>
        </w:rPr>
      </w:pPr>
      <w:r w:rsidRPr="0038429B">
        <w:rPr>
          <w:rFonts w:ascii="Times New Roman" w:hAnsi="Times New Roman" w:cs="Times New Roman"/>
          <w:b/>
          <w:bCs/>
          <w:sz w:val="24"/>
          <w:szCs w:val="24"/>
          <w:lang w:val="en-NG"/>
        </w:rPr>
        <w:lastRenderedPageBreak/>
        <w:t>Monthly Return Patterns Across Years</w:t>
      </w:r>
    </w:p>
    <w:p w14:paraId="170FE468" w14:textId="77777777" w:rsidR="0038429B" w:rsidRPr="0038429B" w:rsidRDefault="0038429B" w:rsidP="0038429B">
      <w:pPr>
        <w:numPr>
          <w:ilvl w:val="0"/>
          <w:numId w:val="6"/>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A heatmap analysis revealed patterns in monthly performance across different years </w:t>
      </w:r>
    </w:p>
    <w:p w14:paraId="57BA2A5E"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Key Insights:</w:t>
      </w:r>
    </w:p>
    <w:p w14:paraId="6D108A37" w14:textId="3CDDBCE4" w:rsidR="008006C5" w:rsidRPr="008006C5" w:rsidRDefault="008006C5" w:rsidP="0038429B">
      <w:pPr>
        <w:numPr>
          <w:ilvl w:val="0"/>
          <w:numId w:val="7"/>
        </w:numPr>
        <w:spacing w:line="360" w:lineRule="auto"/>
        <w:rPr>
          <w:rFonts w:ascii="Times New Roman" w:hAnsi="Times New Roman" w:cs="Times New Roman"/>
          <w:sz w:val="24"/>
          <w:szCs w:val="24"/>
          <w:lang w:val="en-NG"/>
        </w:rPr>
      </w:pPr>
      <w:r w:rsidRPr="008006C5">
        <w:rPr>
          <w:rFonts w:ascii="Times New Roman" w:hAnsi="Times New Roman" w:cs="Times New Roman"/>
          <w:sz w:val="24"/>
          <w:szCs w:val="24"/>
        </w:rPr>
        <w:t>Although September records the lowest average returns based on the heatmap analysis, there is no consistent pattern in monthly returns across different years, indicating that monthly performance varies significantly over time and does not follow a stable or predictable trend.</w:t>
      </w:r>
    </w:p>
    <w:p w14:paraId="223EF928" w14:textId="239A2F2D" w:rsidR="0038429B" w:rsidRPr="0038429B" w:rsidRDefault="0038429B" w:rsidP="0038429B">
      <w:pPr>
        <w:spacing w:line="360" w:lineRule="auto"/>
        <w:rPr>
          <w:rFonts w:ascii="Times New Roman" w:hAnsi="Times New Roman" w:cs="Times New Roman"/>
          <w:b/>
          <w:bCs/>
          <w:sz w:val="24"/>
          <w:szCs w:val="24"/>
          <w:lang w:val="en-NG"/>
        </w:rPr>
      </w:pPr>
      <w:r w:rsidRPr="0038429B">
        <w:rPr>
          <w:rFonts w:ascii="Times New Roman" w:hAnsi="Times New Roman" w:cs="Times New Roman"/>
          <w:b/>
          <w:bCs/>
          <w:sz w:val="24"/>
          <w:szCs w:val="24"/>
          <w:lang w:val="en-NG"/>
        </w:rPr>
        <w:t>Sector-Level Analysis</w:t>
      </w:r>
    </w:p>
    <w:p w14:paraId="64E93FBB" w14:textId="77777777" w:rsidR="0038429B" w:rsidRPr="0038429B" w:rsidRDefault="0038429B" w:rsidP="0038429B">
      <w:pPr>
        <w:numPr>
          <w:ilvl w:val="0"/>
          <w:numId w:val="8"/>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Performance was analyzed across different sectors </w:t>
      </w:r>
    </w:p>
    <w:p w14:paraId="633EDEB8"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Key Insights:</w:t>
      </w:r>
    </w:p>
    <w:p w14:paraId="7DF3275C" w14:textId="77777777" w:rsidR="0038429B" w:rsidRPr="0038429B" w:rsidRDefault="0038429B" w:rsidP="0038429B">
      <w:pPr>
        <w:numPr>
          <w:ilvl w:val="0"/>
          <w:numId w:val="9"/>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The Technology sector recorded the highest returns </w:t>
      </w:r>
    </w:p>
    <w:p w14:paraId="7439F18D" w14:textId="77777777" w:rsidR="0038429B" w:rsidRPr="0038429B" w:rsidRDefault="0038429B" w:rsidP="0038429B">
      <w:pPr>
        <w:numPr>
          <w:ilvl w:val="0"/>
          <w:numId w:val="9"/>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The Real Estate sector showed the lowest returns and highest risk (volatility) </w:t>
      </w:r>
    </w:p>
    <w:p w14:paraId="6DF4953F" w14:textId="77777777" w:rsidR="0038429B" w:rsidRPr="0038429B" w:rsidRDefault="0038429B" w:rsidP="0038429B">
      <w:pPr>
        <w:numPr>
          <w:ilvl w:val="0"/>
          <w:numId w:val="9"/>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The Utilities sector demonstrated the lowest volatility, indicating stability </w:t>
      </w:r>
    </w:p>
    <w:p w14:paraId="5B0E88CC" w14:textId="77777777" w:rsidR="0038429B" w:rsidRPr="0038429B" w:rsidRDefault="0038429B" w:rsidP="0038429B">
      <w:pPr>
        <w:numPr>
          <w:ilvl w:val="0"/>
          <w:numId w:val="9"/>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Across sectors: </w:t>
      </w:r>
    </w:p>
    <w:p w14:paraId="391D1BD1" w14:textId="77777777" w:rsidR="007969F6" w:rsidRDefault="0038429B" w:rsidP="007969F6">
      <w:pPr>
        <w:pStyle w:val="ListParagraph"/>
        <w:numPr>
          <w:ilvl w:val="0"/>
          <w:numId w:val="19"/>
        </w:numPr>
        <w:spacing w:line="360" w:lineRule="auto"/>
        <w:rPr>
          <w:rFonts w:ascii="Times New Roman" w:hAnsi="Times New Roman" w:cs="Times New Roman"/>
          <w:sz w:val="24"/>
          <w:szCs w:val="24"/>
          <w:lang w:val="en-NG"/>
        </w:rPr>
      </w:pPr>
      <w:r w:rsidRPr="007969F6">
        <w:rPr>
          <w:rFonts w:ascii="Times New Roman" w:hAnsi="Times New Roman" w:cs="Times New Roman"/>
          <w:sz w:val="24"/>
          <w:szCs w:val="24"/>
          <w:lang w:val="en-NG"/>
        </w:rPr>
        <w:t xml:space="preserve">November had the highest monthly returns </w:t>
      </w:r>
    </w:p>
    <w:p w14:paraId="22DF9081" w14:textId="77777777" w:rsidR="007969F6" w:rsidRDefault="0038429B" w:rsidP="0038429B">
      <w:pPr>
        <w:pStyle w:val="ListParagraph"/>
        <w:numPr>
          <w:ilvl w:val="0"/>
          <w:numId w:val="19"/>
        </w:numPr>
        <w:spacing w:line="360" w:lineRule="auto"/>
        <w:rPr>
          <w:rFonts w:ascii="Times New Roman" w:hAnsi="Times New Roman" w:cs="Times New Roman"/>
          <w:sz w:val="24"/>
          <w:szCs w:val="24"/>
          <w:lang w:val="en-NG"/>
        </w:rPr>
      </w:pPr>
      <w:r w:rsidRPr="007969F6">
        <w:rPr>
          <w:rFonts w:ascii="Times New Roman" w:hAnsi="Times New Roman" w:cs="Times New Roman"/>
          <w:sz w:val="24"/>
          <w:szCs w:val="24"/>
          <w:lang w:val="en-NG"/>
        </w:rPr>
        <w:t xml:space="preserve">September had the lowest returns </w:t>
      </w:r>
    </w:p>
    <w:p w14:paraId="17C4D2ED" w14:textId="6544FE60" w:rsidR="0038429B" w:rsidRPr="007969F6" w:rsidRDefault="0038429B" w:rsidP="007969F6">
      <w:pPr>
        <w:spacing w:line="360" w:lineRule="auto"/>
        <w:rPr>
          <w:rFonts w:ascii="Times New Roman" w:hAnsi="Times New Roman" w:cs="Times New Roman"/>
          <w:b/>
          <w:bCs/>
          <w:sz w:val="24"/>
          <w:szCs w:val="24"/>
          <w:lang w:val="en-NG"/>
        </w:rPr>
      </w:pPr>
      <w:r w:rsidRPr="007969F6">
        <w:rPr>
          <w:rFonts w:ascii="Times New Roman" w:hAnsi="Times New Roman" w:cs="Times New Roman"/>
          <w:b/>
          <w:bCs/>
          <w:sz w:val="24"/>
          <w:szCs w:val="24"/>
          <w:lang w:val="en-NG"/>
        </w:rPr>
        <w:t>Risk vs Return by Sector</w:t>
      </w:r>
    </w:p>
    <w:p w14:paraId="74DC8744" w14:textId="77777777" w:rsidR="0038429B" w:rsidRPr="0038429B" w:rsidRDefault="0038429B" w:rsidP="0038429B">
      <w:pPr>
        <w:numPr>
          <w:ilvl w:val="0"/>
          <w:numId w:val="10"/>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A comparative analysis of risk and return was conducted across sectors </w:t>
      </w:r>
    </w:p>
    <w:p w14:paraId="4B3E2C3F"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Key Insights:</w:t>
      </w:r>
    </w:p>
    <w:p w14:paraId="2B344022" w14:textId="77777777" w:rsidR="0038429B" w:rsidRPr="0038429B" w:rsidRDefault="0038429B" w:rsidP="0038429B">
      <w:pPr>
        <w:numPr>
          <w:ilvl w:val="0"/>
          <w:numId w:val="11"/>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Real Estate: Low return, high risk </w:t>
      </w:r>
    </w:p>
    <w:p w14:paraId="0E8D2AA0" w14:textId="77777777" w:rsidR="0038429B" w:rsidRPr="0038429B" w:rsidRDefault="0038429B" w:rsidP="0038429B">
      <w:pPr>
        <w:numPr>
          <w:ilvl w:val="0"/>
          <w:numId w:val="11"/>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Technology: High return, high risk </w:t>
      </w:r>
    </w:p>
    <w:p w14:paraId="382104B6" w14:textId="77777777" w:rsidR="007969F6"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This highlights the classic risk-return trade-off in financial markets.</w:t>
      </w:r>
    </w:p>
    <w:p w14:paraId="4B6CDA14" w14:textId="1ABF4E06" w:rsidR="0038429B" w:rsidRPr="0038429B" w:rsidRDefault="0038429B" w:rsidP="0038429B">
      <w:pPr>
        <w:spacing w:line="360" w:lineRule="auto"/>
        <w:rPr>
          <w:rFonts w:ascii="Times New Roman" w:hAnsi="Times New Roman" w:cs="Times New Roman"/>
          <w:b/>
          <w:bCs/>
          <w:sz w:val="24"/>
          <w:szCs w:val="24"/>
          <w:lang w:val="en-NG"/>
        </w:rPr>
      </w:pPr>
      <w:r w:rsidRPr="0038429B">
        <w:rPr>
          <w:rFonts w:ascii="Times New Roman" w:hAnsi="Times New Roman" w:cs="Times New Roman"/>
          <w:b/>
          <w:bCs/>
          <w:sz w:val="24"/>
          <w:szCs w:val="24"/>
          <w:lang w:val="en-NG"/>
        </w:rPr>
        <w:t>Industry-Level Analysis</w:t>
      </w:r>
    </w:p>
    <w:p w14:paraId="29F7076F" w14:textId="77777777" w:rsidR="0038429B" w:rsidRPr="0038429B" w:rsidRDefault="0038429B" w:rsidP="0038429B">
      <w:pPr>
        <w:numPr>
          <w:ilvl w:val="0"/>
          <w:numId w:val="12"/>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Performance was further analyzed at the industry level </w:t>
      </w:r>
    </w:p>
    <w:p w14:paraId="04E502D2"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Key Insights:</w:t>
      </w:r>
    </w:p>
    <w:p w14:paraId="60A9EF6E" w14:textId="77777777" w:rsidR="0038429B" w:rsidRPr="0038429B" w:rsidRDefault="0038429B" w:rsidP="0038429B">
      <w:pPr>
        <w:numPr>
          <w:ilvl w:val="0"/>
          <w:numId w:val="13"/>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lastRenderedPageBreak/>
        <w:t xml:space="preserve">Internet Retail recorded the highest returns </w:t>
      </w:r>
    </w:p>
    <w:p w14:paraId="72533130" w14:textId="77777777" w:rsidR="0038429B" w:rsidRPr="0038429B" w:rsidRDefault="0038429B" w:rsidP="0038429B">
      <w:pPr>
        <w:numPr>
          <w:ilvl w:val="0"/>
          <w:numId w:val="13"/>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Travel Services exhibited the highest risk (volatility) </w:t>
      </w:r>
    </w:p>
    <w:p w14:paraId="489AE6B9" w14:textId="77777777" w:rsidR="007969F6" w:rsidRDefault="0038429B" w:rsidP="0038429B">
      <w:pPr>
        <w:numPr>
          <w:ilvl w:val="0"/>
          <w:numId w:val="13"/>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September consistently recorded the lowest returns across industries </w:t>
      </w:r>
    </w:p>
    <w:p w14:paraId="380D0622" w14:textId="0EE6D58B" w:rsidR="0038429B" w:rsidRPr="0038429B" w:rsidRDefault="0038429B" w:rsidP="007969F6">
      <w:pPr>
        <w:spacing w:line="360" w:lineRule="auto"/>
        <w:rPr>
          <w:rFonts w:ascii="Times New Roman" w:hAnsi="Times New Roman" w:cs="Times New Roman"/>
          <w:b/>
          <w:bCs/>
          <w:sz w:val="24"/>
          <w:szCs w:val="24"/>
          <w:lang w:val="en-NG"/>
        </w:rPr>
      </w:pPr>
      <w:r w:rsidRPr="0038429B">
        <w:rPr>
          <w:rFonts w:ascii="Times New Roman" w:hAnsi="Times New Roman" w:cs="Times New Roman"/>
          <w:b/>
          <w:bCs/>
          <w:sz w:val="24"/>
          <w:szCs w:val="24"/>
          <w:lang w:val="en-NG"/>
        </w:rPr>
        <w:t>Company-Level Analysis</w:t>
      </w:r>
    </w:p>
    <w:p w14:paraId="66B1060A" w14:textId="77777777" w:rsidR="0038429B" w:rsidRPr="0038429B" w:rsidRDefault="0038429B" w:rsidP="0038429B">
      <w:pPr>
        <w:numPr>
          <w:ilvl w:val="0"/>
          <w:numId w:val="14"/>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Individual company performance was evaluated </w:t>
      </w:r>
    </w:p>
    <w:p w14:paraId="3041969C" w14:textId="77777777" w:rsidR="0038429B" w:rsidRPr="0038429B" w:rsidRDefault="0038429B" w:rsidP="0038429B">
      <w:p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Key Insights:</w:t>
      </w:r>
    </w:p>
    <w:p w14:paraId="5F3BA481" w14:textId="77777777" w:rsidR="0038429B" w:rsidRPr="0038429B" w:rsidRDefault="0038429B" w:rsidP="0038429B">
      <w:pPr>
        <w:numPr>
          <w:ilvl w:val="0"/>
          <w:numId w:val="15"/>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Broadcom Inc. recorded the highest returns </w:t>
      </w:r>
    </w:p>
    <w:p w14:paraId="0E22CDCC" w14:textId="77777777" w:rsidR="0038429B" w:rsidRPr="0038429B" w:rsidRDefault="0038429B" w:rsidP="0038429B">
      <w:pPr>
        <w:numPr>
          <w:ilvl w:val="0"/>
          <w:numId w:val="15"/>
        </w:numPr>
        <w:spacing w:line="360" w:lineRule="auto"/>
        <w:rPr>
          <w:rFonts w:ascii="Times New Roman" w:hAnsi="Times New Roman" w:cs="Times New Roman"/>
          <w:sz w:val="24"/>
          <w:szCs w:val="24"/>
          <w:lang w:val="en-NG"/>
        </w:rPr>
      </w:pPr>
      <w:r w:rsidRPr="0038429B">
        <w:rPr>
          <w:rFonts w:ascii="Times New Roman" w:hAnsi="Times New Roman" w:cs="Times New Roman"/>
          <w:sz w:val="24"/>
          <w:szCs w:val="24"/>
          <w:lang w:val="en-NG"/>
        </w:rPr>
        <w:t xml:space="preserve">Regeneron Pharmaceuticals, Inc. was identified as the most volatile (riskiest) company </w:t>
      </w:r>
    </w:p>
    <w:p w14:paraId="2E70C99B" w14:textId="77777777" w:rsidR="00B85FDF" w:rsidRDefault="0038429B" w:rsidP="0038429B">
      <w:pPr>
        <w:spacing w:line="360" w:lineRule="auto"/>
        <w:rPr>
          <w:rFonts w:ascii="Times New Roman" w:hAnsi="Times New Roman" w:cs="Times New Roman"/>
          <w:b/>
          <w:bCs/>
          <w:sz w:val="28"/>
          <w:szCs w:val="28"/>
          <w:lang w:val="en-NG"/>
        </w:rPr>
      </w:pPr>
      <w:r w:rsidRPr="0038429B">
        <w:rPr>
          <w:rFonts w:ascii="Times New Roman" w:hAnsi="Times New Roman" w:cs="Times New Roman"/>
          <w:b/>
          <w:bCs/>
          <w:sz w:val="28"/>
          <w:szCs w:val="28"/>
          <w:lang w:val="en-NG"/>
        </w:rPr>
        <w:t>Conclusion</w:t>
      </w:r>
    </w:p>
    <w:p w14:paraId="4D0B2D02" w14:textId="0F6B9CF3" w:rsidR="00B85FDF" w:rsidRPr="00B85FDF" w:rsidRDefault="00B85FDF" w:rsidP="0038429B">
      <w:pPr>
        <w:spacing w:line="360" w:lineRule="auto"/>
        <w:rPr>
          <w:rFonts w:ascii="Times New Roman" w:hAnsi="Times New Roman" w:cs="Times New Roman"/>
          <w:sz w:val="28"/>
          <w:szCs w:val="28"/>
          <w:lang w:val="en-NG"/>
        </w:rPr>
      </w:pPr>
      <w:r w:rsidRPr="00B85FDF">
        <w:rPr>
          <w:rFonts w:ascii="Times New Roman" w:hAnsi="Times New Roman" w:cs="Times New Roman"/>
          <w:sz w:val="24"/>
          <w:szCs w:val="24"/>
        </w:rPr>
        <w:t xml:space="preserve">This comprehensive 50-year analysis of stock returns and volatility reveals several critical insights into market </w:t>
      </w:r>
      <w:r w:rsidRPr="00B85FDF">
        <w:rPr>
          <w:rFonts w:ascii="Times New Roman" w:hAnsi="Times New Roman" w:cs="Times New Roman"/>
          <w:sz w:val="24"/>
          <w:szCs w:val="24"/>
        </w:rPr>
        <w:t>behaviour</w:t>
      </w:r>
      <w:r w:rsidRPr="00B85FDF">
        <w:rPr>
          <w:rFonts w:ascii="Times New Roman" w:hAnsi="Times New Roman" w:cs="Times New Roman"/>
          <w:sz w:val="24"/>
          <w:szCs w:val="24"/>
        </w:rPr>
        <w:t xml:space="preserve"> across time, sectors, industries, and individual companies.</w:t>
      </w:r>
    </w:p>
    <w:p w14:paraId="7010AA31" w14:textId="432353BE" w:rsidR="00B85FDF" w:rsidRPr="00B85FDF" w:rsidRDefault="00B85FDF" w:rsidP="0038429B">
      <w:pPr>
        <w:spacing w:line="360" w:lineRule="auto"/>
        <w:rPr>
          <w:rFonts w:ascii="Times New Roman" w:hAnsi="Times New Roman" w:cs="Times New Roman"/>
          <w:sz w:val="24"/>
          <w:szCs w:val="24"/>
        </w:rPr>
      </w:pPr>
      <w:r w:rsidRPr="00B85FDF">
        <w:rPr>
          <w:rFonts w:ascii="Times New Roman" w:hAnsi="Times New Roman" w:cs="Times New Roman"/>
          <w:sz w:val="24"/>
          <w:szCs w:val="24"/>
        </w:rPr>
        <w:t>T</w:t>
      </w:r>
      <w:r w:rsidRPr="00B85FDF">
        <w:rPr>
          <w:rFonts w:ascii="Times New Roman" w:hAnsi="Times New Roman" w:cs="Times New Roman"/>
          <w:sz w:val="24"/>
          <w:szCs w:val="24"/>
        </w:rPr>
        <w:t>he findings highlight that market volatility and returns are dynamic and cyclical rather than constant. Certain periods</w:t>
      </w:r>
      <w:r w:rsidRPr="00B85FDF">
        <w:rPr>
          <w:rFonts w:ascii="Times New Roman" w:hAnsi="Times New Roman" w:cs="Times New Roman"/>
          <w:sz w:val="24"/>
          <w:szCs w:val="24"/>
        </w:rPr>
        <w:t xml:space="preserve"> (</w:t>
      </w:r>
      <w:r w:rsidRPr="00B85FDF">
        <w:rPr>
          <w:rFonts w:ascii="Times New Roman" w:hAnsi="Times New Roman" w:cs="Times New Roman"/>
          <w:sz w:val="24"/>
          <w:szCs w:val="24"/>
        </w:rPr>
        <w:t>1970–1980, 2000–2010, and the early 2020s</w:t>
      </w:r>
      <w:r w:rsidRPr="00B85FDF">
        <w:rPr>
          <w:rFonts w:ascii="Times New Roman" w:hAnsi="Times New Roman" w:cs="Times New Roman"/>
          <w:sz w:val="24"/>
          <w:szCs w:val="24"/>
        </w:rPr>
        <w:t xml:space="preserve">) </w:t>
      </w:r>
      <w:r w:rsidRPr="00B85FDF">
        <w:rPr>
          <w:rFonts w:ascii="Times New Roman" w:hAnsi="Times New Roman" w:cs="Times New Roman"/>
          <w:sz w:val="24"/>
          <w:szCs w:val="24"/>
        </w:rPr>
        <w:t>were characterized by significant declines in returns and heightened volatility, reflecting periods of economic uncertainty. Monthly analysis further demonstrates the presence of seasonality, with September consistently underperforming and November showing strong positive returns. However, the absence of a stable monthly pattern across years suggests that short-term market movements remain unpredictable.</w:t>
      </w:r>
    </w:p>
    <w:p w14:paraId="54AD55F4" w14:textId="11368005" w:rsidR="00B85FDF" w:rsidRPr="00B85FDF" w:rsidRDefault="00B85FDF" w:rsidP="0038429B">
      <w:pPr>
        <w:spacing w:line="360" w:lineRule="auto"/>
        <w:rPr>
          <w:rFonts w:ascii="Times New Roman" w:hAnsi="Times New Roman" w:cs="Times New Roman"/>
          <w:sz w:val="24"/>
          <w:szCs w:val="24"/>
        </w:rPr>
      </w:pPr>
      <w:r w:rsidRPr="00B85FDF">
        <w:rPr>
          <w:rFonts w:ascii="Times New Roman" w:hAnsi="Times New Roman" w:cs="Times New Roman"/>
          <w:sz w:val="24"/>
          <w:szCs w:val="24"/>
        </w:rPr>
        <w:t>Sector and industry analyses further demonstrate that risk and return are unevenly distributed across the market. High-growth areas such as the Technology sector deliver superior returns but with increased volatility, while sectors like Real Estate combine lower returns with higher risk, making them less attractive from a risk-adjusted perspective. Conversely, more stable sectors such as Utilities offer lower volatility, highlighting their role in risk mitigation.</w:t>
      </w:r>
    </w:p>
    <w:p w14:paraId="54BE482A" w14:textId="080ED0CD" w:rsidR="00B85FDF" w:rsidRDefault="00B85FDF" w:rsidP="0038429B">
      <w:pPr>
        <w:spacing w:line="360" w:lineRule="auto"/>
        <w:rPr>
          <w:rFonts w:ascii="Times New Roman" w:hAnsi="Times New Roman" w:cs="Times New Roman"/>
          <w:sz w:val="24"/>
          <w:szCs w:val="24"/>
        </w:rPr>
      </w:pPr>
      <w:r w:rsidRPr="00B85FDF">
        <w:rPr>
          <w:rFonts w:ascii="Times New Roman" w:hAnsi="Times New Roman" w:cs="Times New Roman"/>
          <w:sz w:val="24"/>
          <w:szCs w:val="24"/>
        </w:rPr>
        <w:t>At a more granular level, differences across industries and companies emphasize the importance of selective investment strategies. For instance, industries like Internet Retail outperform significantly, while others such as Travel Services carry higher risk exposure. Similarly, companies such as Broadcom Inc. demonstrate strong return potential, whereas Regeneron Pharmaceuticals, Inc. reflects higher volatility.</w:t>
      </w:r>
    </w:p>
    <w:p w14:paraId="7EFE57E2" w14:textId="20EC1460" w:rsidR="00E94BB4" w:rsidRPr="00E94BB4" w:rsidRDefault="00E94BB4" w:rsidP="0038429B">
      <w:pPr>
        <w:spacing w:line="360" w:lineRule="auto"/>
        <w:rPr>
          <w:rFonts w:ascii="Times New Roman" w:hAnsi="Times New Roman" w:cs="Times New Roman"/>
          <w:sz w:val="24"/>
          <w:szCs w:val="24"/>
        </w:rPr>
      </w:pPr>
      <w:r w:rsidRPr="00E94BB4">
        <w:rPr>
          <w:rFonts w:ascii="Times New Roman" w:hAnsi="Times New Roman" w:cs="Times New Roman"/>
          <w:sz w:val="24"/>
          <w:szCs w:val="24"/>
        </w:rPr>
        <w:lastRenderedPageBreak/>
        <w:t>Overall, the analysis underscores the fundamental principle of the risk-return trade-off, where higher potential returns are often associated with increased risk. It also demonstrates that effective investment decision-making requires a combination of time-based analysis, sector diversification, and risk assessment.</w:t>
      </w:r>
    </w:p>
    <w:p w14:paraId="64D6DB2D" w14:textId="77777777" w:rsidR="0038429B" w:rsidRPr="00E94BB4" w:rsidRDefault="0038429B" w:rsidP="0038429B">
      <w:pPr>
        <w:spacing w:line="360" w:lineRule="auto"/>
        <w:rPr>
          <w:rFonts w:ascii="Times New Roman" w:hAnsi="Times New Roman" w:cs="Times New Roman"/>
          <w:sz w:val="24"/>
          <w:szCs w:val="24"/>
          <w:lang w:val="en-NG"/>
        </w:rPr>
      </w:pPr>
    </w:p>
    <w:p w14:paraId="22E9D4D5" w14:textId="77777777" w:rsidR="0038429B" w:rsidRPr="00B85FDF" w:rsidRDefault="0038429B" w:rsidP="0038429B">
      <w:pPr>
        <w:spacing w:line="360" w:lineRule="auto"/>
        <w:rPr>
          <w:rFonts w:ascii="Times New Roman" w:hAnsi="Times New Roman" w:cs="Times New Roman"/>
          <w:sz w:val="24"/>
          <w:szCs w:val="24"/>
          <w:lang w:val="en-NG"/>
        </w:rPr>
      </w:pPr>
    </w:p>
    <w:p w14:paraId="0FEA63D2" w14:textId="77777777" w:rsidR="0038429B" w:rsidRPr="00B85FDF" w:rsidRDefault="0038429B" w:rsidP="0038429B">
      <w:pPr>
        <w:spacing w:line="360" w:lineRule="auto"/>
        <w:rPr>
          <w:rFonts w:ascii="Times New Roman" w:hAnsi="Times New Roman" w:cs="Times New Roman"/>
          <w:sz w:val="24"/>
          <w:szCs w:val="24"/>
        </w:rPr>
      </w:pPr>
    </w:p>
    <w:sectPr w:rsidR="0038429B" w:rsidRPr="00B85F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E33BC"/>
    <w:multiLevelType w:val="multilevel"/>
    <w:tmpl w:val="C41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50D2"/>
    <w:multiLevelType w:val="hybridMultilevel"/>
    <w:tmpl w:val="8E4C9B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5DD7189"/>
    <w:multiLevelType w:val="multilevel"/>
    <w:tmpl w:val="D77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32A4E"/>
    <w:multiLevelType w:val="multilevel"/>
    <w:tmpl w:val="6B3E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34E40"/>
    <w:multiLevelType w:val="multilevel"/>
    <w:tmpl w:val="4C7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D653F"/>
    <w:multiLevelType w:val="multilevel"/>
    <w:tmpl w:val="D7F8C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C5487"/>
    <w:multiLevelType w:val="multilevel"/>
    <w:tmpl w:val="179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27633"/>
    <w:multiLevelType w:val="multilevel"/>
    <w:tmpl w:val="949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32FAC"/>
    <w:multiLevelType w:val="multilevel"/>
    <w:tmpl w:val="1A2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F360A"/>
    <w:multiLevelType w:val="hybridMultilevel"/>
    <w:tmpl w:val="BA7841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F3A4503"/>
    <w:multiLevelType w:val="multilevel"/>
    <w:tmpl w:val="770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D5360"/>
    <w:multiLevelType w:val="multilevel"/>
    <w:tmpl w:val="997E0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B410E"/>
    <w:multiLevelType w:val="multilevel"/>
    <w:tmpl w:val="D7D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F6179"/>
    <w:multiLevelType w:val="multilevel"/>
    <w:tmpl w:val="36B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B0ACB"/>
    <w:multiLevelType w:val="multilevel"/>
    <w:tmpl w:val="890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A1498"/>
    <w:multiLevelType w:val="multilevel"/>
    <w:tmpl w:val="779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C36DE"/>
    <w:multiLevelType w:val="multilevel"/>
    <w:tmpl w:val="5CD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44AB9"/>
    <w:multiLevelType w:val="hybridMultilevel"/>
    <w:tmpl w:val="D82EF6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B8D0237"/>
    <w:multiLevelType w:val="multilevel"/>
    <w:tmpl w:val="61A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A02B7"/>
    <w:multiLevelType w:val="multilevel"/>
    <w:tmpl w:val="8C2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36764"/>
    <w:multiLevelType w:val="multilevel"/>
    <w:tmpl w:val="42E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404352">
    <w:abstractNumId w:val="10"/>
  </w:num>
  <w:num w:numId="2" w16cid:durableId="342754632">
    <w:abstractNumId w:val="19"/>
  </w:num>
  <w:num w:numId="3" w16cid:durableId="1428816256">
    <w:abstractNumId w:val="12"/>
  </w:num>
  <w:num w:numId="4" w16cid:durableId="672074333">
    <w:abstractNumId w:val="14"/>
  </w:num>
  <w:num w:numId="5" w16cid:durableId="1064721443">
    <w:abstractNumId w:val="11"/>
  </w:num>
  <w:num w:numId="6" w16cid:durableId="1168254372">
    <w:abstractNumId w:val="20"/>
  </w:num>
  <w:num w:numId="7" w16cid:durableId="1113400654">
    <w:abstractNumId w:val="6"/>
  </w:num>
  <w:num w:numId="8" w16cid:durableId="1665473081">
    <w:abstractNumId w:val="15"/>
  </w:num>
  <w:num w:numId="9" w16cid:durableId="1504391286">
    <w:abstractNumId w:val="5"/>
  </w:num>
  <w:num w:numId="10" w16cid:durableId="1136021427">
    <w:abstractNumId w:val="16"/>
  </w:num>
  <w:num w:numId="11" w16cid:durableId="1139765322">
    <w:abstractNumId w:val="13"/>
  </w:num>
  <w:num w:numId="12" w16cid:durableId="172571402">
    <w:abstractNumId w:val="2"/>
  </w:num>
  <w:num w:numId="13" w16cid:durableId="1288583786">
    <w:abstractNumId w:val="7"/>
  </w:num>
  <w:num w:numId="14" w16cid:durableId="2147165430">
    <w:abstractNumId w:val="8"/>
  </w:num>
  <w:num w:numId="15" w16cid:durableId="1464470265">
    <w:abstractNumId w:val="3"/>
  </w:num>
  <w:num w:numId="16" w16cid:durableId="809399622">
    <w:abstractNumId w:val="4"/>
  </w:num>
  <w:num w:numId="17" w16cid:durableId="2119640720">
    <w:abstractNumId w:val="1"/>
  </w:num>
  <w:num w:numId="18" w16cid:durableId="1656294689">
    <w:abstractNumId w:val="17"/>
  </w:num>
  <w:num w:numId="19" w16cid:durableId="2130778237">
    <w:abstractNumId w:val="9"/>
  </w:num>
  <w:num w:numId="20" w16cid:durableId="188028904">
    <w:abstractNumId w:val="0"/>
  </w:num>
  <w:num w:numId="21" w16cid:durableId="8840976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29B"/>
    <w:rsid w:val="00244EE5"/>
    <w:rsid w:val="00264AF1"/>
    <w:rsid w:val="002C5529"/>
    <w:rsid w:val="00341139"/>
    <w:rsid w:val="0038429B"/>
    <w:rsid w:val="00536C97"/>
    <w:rsid w:val="005554EC"/>
    <w:rsid w:val="006A0905"/>
    <w:rsid w:val="007969F6"/>
    <w:rsid w:val="008006C5"/>
    <w:rsid w:val="00916067"/>
    <w:rsid w:val="00A73AAB"/>
    <w:rsid w:val="00B85FDF"/>
    <w:rsid w:val="00CF02A4"/>
    <w:rsid w:val="00E03CCC"/>
    <w:rsid w:val="00E94BB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7764"/>
  <w15:chartTrackingRefBased/>
  <w15:docId w15:val="{159D1AE8-2DDC-409D-A461-79A926AB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4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4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4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4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29B"/>
    <w:rPr>
      <w:rFonts w:eastAsiaTheme="majorEastAsia" w:cstheme="majorBidi"/>
      <w:color w:val="272727" w:themeColor="text1" w:themeTint="D8"/>
    </w:rPr>
  </w:style>
  <w:style w:type="paragraph" w:styleId="Title">
    <w:name w:val="Title"/>
    <w:basedOn w:val="Normal"/>
    <w:next w:val="Normal"/>
    <w:link w:val="TitleChar"/>
    <w:uiPriority w:val="10"/>
    <w:qFormat/>
    <w:rsid w:val="00384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29B"/>
    <w:pPr>
      <w:spacing w:before="160"/>
      <w:jc w:val="center"/>
    </w:pPr>
    <w:rPr>
      <w:i/>
      <w:iCs/>
      <w:color w:val="404040" w:themeColor="text1" w:themeTint="BF"/>
    </w:rPr>
  </w:style>
  <w:style w:type="character" w:customStyle="1" w:styleId="QuoteChar">
    <w:name w:val="Quote Char"/>
    <w:basedOn w:val="DefaultParagraphFont"/>
    <w:link w:val="Quote"/>
    <w:uiPriority w:val="29"/>
    <w:rsid w:val="0038429B"/>
    <w:rPr>
      <w:i/>
      <w:iCs/>
      <w:color w:val="404040" w:themeColor="text1" w:themeTint="BF"/>
    </w:rPr>
  </w:style>
  <w:style w:type="paragraph" w:styleId="ListParagraph">
    <w:name w:val="List Paragraph"/>
    <w:basedOn w:val="Normal"/>
    <w:uiPriority w:val="34"/>
    <w:qFormat/>
    <w:rsid w:val="0038429B"/>
    <w:pPr>
      <w:ind w:left="720"/>
      <w:contextualSpacing/>
    </w:pPr>
  </w:style>
  <w:style w:type="character" w:styleId="IntenseEmphasis">
    <w:name w:val="Intense Emphasis"/>
    <w:basedOn w:val="DefaultParagraphFont"/>
    <w:uiPriority w:val="21"/>
    <w:qFormat/>
    <w:rsid w:val="0038429B"/>
    <w:rPr>
      <w:i/>
      <w:iCs/>
      <w:color w:val="2F5496" w:themeColor="accent1" w:themeShade="BF"/>
    </w:rPr>
  </w:style>
  <w:style w:type="paragraph" w:styleId="IntenseQuote">
    <w:name w:val="Intense Quote"/>
    <w:basedOn w:val="Normal"/>
    <w:next w:val="Normal"/>
    <w:link w:val="IntenseQuoteChar"/>
    <w:uiPriority w:val="30"/>
    <w:qFormat/>
    <w:rsid w:val="00384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29B"/>
    <w:rPr>
      <w:i/>
      <w:iCs/>
      <w:color w:val="2F5496" w:themeColor="accent1" w:themeShade="BF"/>
    </w:rPr>
  </w:style>
  <w:style w:type="character" w:styleId="IntenseReference">
    <w:name w:val="Intense Reference"/>
    <w:basedOn w:val="DefaultParagraphFont"/>
    <w:uiPriority w:val="32"/>
    <w:qFormat/>
    <w:rsid w:val="0038429B"/>
    <w:rPr>
      <w:b/>
      <w:bCs/>
      <w:smallCaps/>
      <w:color w:val="2F5496" w:themeColor="accent1" w:themeShade="BF"/>
      <w:spacing w:val="5"/>
    </w:rPr>
  </w:style>
  <w:style w:type="character" w:styleId="Strong">
    <w:name w:val="Strong"/>
    <w:basedOn w:val="DefaultParagraphFont"/>
    <w:uiPriority w:val="22"/>
    <w:qFormat/>
    <w:rsid w:val="003842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Olubunmi Kayode</dc:creator>
  <cp:keywords/>
  <dc:description/>
  <cp:lastModifiedBy>Olubunmi Kayode</cp:lastModifiedBy>
  <cp:revision>4</cp:revision>
  <dcterms:created xsi:type="dcterms:W3CDTF">2026-04-07T02:06:00Z</dcterms:created>
  <dcterms:modified xsi:type="dcterms:W3CDTF">2026-04-07T02:53:00Z</dcterms:modified>
</cp:coreProperties>
</file>