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EE05378" w:rsidP="6B069F9C" w:rsidRDefault="1EE05378" w14:paraId="0C28C392" w14:textId="0119821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6B069F9C" w:rsidR="1EE0537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Eduardo de Araujo Soares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6A35E86" w:rsidP="6B069F9C" w:rsidRDefault="56A35E86" w14:paraId="7599CC9B" w14:textId="669E54E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B069F9C" w:rsidR="56A35E8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São </w:t>
      </w:r>
      <w:r w:rsidRPr="6B069F9C" w:rsidR="0BA128E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</w:t>
      </w:r>
      <w:r w:rsidRPr="6B069F9C" w:rsidR="56A35E8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aulo</w:t>
      </w:r>
    </w:p>
    <w:p w:rsidR="0090332E" w:rsidP="0026761D" w:rsidRDefault="00872A27" w14:paraId="37C76095" w14:textId="0DA429C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6B069F9C" w:rsidR="56A35E8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  <w:rPr/>
      </w:pPr>
      <w:bookmarkStart w:name="_Toc360994867" w:id="584166170"/>
      <w:r w:rsidR="00872A27">
        <w:rPr/>
        <w:t>RESUMO</w:t>
      </w:r>
      <w:bookmarkEnd w:id="58416617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50A52D89" w:rsidRDefault="00872A27" w14:paraId="4105F78E" w14:textId="1F0681E3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0A52D89" w:rsidR="6B841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trabalho teve como objetivo observar</w:t>
      </w:r>
      <w:r w:rsidRPr="50A52D89" w:rsidR="60F6CD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avaliar e qualificar</w:t>
      </w:r>
      <w:r w:rsidRPr="50A52D89" w:rsidR="6B841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A52D89" w:rsidR="6B841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uma das variações de embalagens d</w:t>
      </w:r>
      <w:r w:rsidRPr="50A52D89" w:rsidR="05E24C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energético</w:t>
      </w:r>
      <w:r w:rsidRPr="50A52D89" w:rsidR="6B841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A52D89" w:rsidR="51D6FD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da </w:t>
      </w:r>
      <w:r w:rsidRPr="50A52D89" w:rsidR="042E82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marca Monster Energy</w:t>
      </w:r>
      <w:r w:rsidRPr="50A52D89" w:rsidR="389E24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no caso,</w:t>
      </w:r>
      <w:r w:rsidRPr="50A52D89" w:rsidR="0ECD14C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Monster Energy – Ultra Violet. Durante a pesquisa </w:t>
      </w:r>
      <w:r w:rsidRPr="50A52D89" w:rsidR="44DA59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pode-se destacar como o produto tenta trazer uma inovação no seu meio, apostando em </w:t>
      </w:r>
      <w:r w:rsidRPr="50A52D89" w:rsidR="0A2A1DC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designs</w:t>
      </w:r>
      <w:r w:rsidRPr="50A52D89" w:rsidR="44DA59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in</w:t>
      </w:r>
      <w:r w:rsidRPr="50A52D89" w:rsidR="06494F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ovadores</w:t>
      </w:r>
      <w:r w:rsidRPr="50A52D89" w:rsidR="36AC9C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atrair clientes e criar boas experiencias desde o primeiro contato</w:t>
      </w:r>
      <w:r w:rsidRPr="50A52D89" w:rsidR="7CF115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sem deixar de lado leis que exigem a descrição do produto, seus co</w:t>
      </w:r>
      <w:r w:rsidRPr="50A52D89" w:rsidR="1D3C623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mponentes e valores nutricionais</w:t>
      </w:r>
      <w:r w:rsidRPr="50A52D89" w:rsidR="36AC9C5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50A52D89" w:rsidR="389E24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A52D89">
        <w:rPr>
          <w:rFonts w:ascii="Arial" w:hAnsi="Arial" w:cs="Arial"/>
          <w:color w:val="000000" w:themeColor="text1" w:themeTint="FF" w:themeShade="FF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861026896" w:id="1666539690"/>
      <w:r w:rsidR="00872A27">
        <w:rPr/>
        <w:t>SUMÁRIO</w:t>
      </w:r>
      <w:bookmarkEnd w:id="1666539690"/>
    </w:p>
    <w:p w:rsidR="000E2050" w:rsidP="50A52D89" w:rsidRDefault="00DA3DB4" w14:paraId="3C35A12E" w14:textId="5AF7C8D9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360994867">
        <w:r w:rsidRPr="50A52D89" w:rsidR="50A52D89">
          <w:rPr>
            <w:rStyle w:val="Hyperlink"/>
          </w:rPr>
          <w:t>1.</w:t>
        </w:r>
        <w:r>
          <w:tab/>
        </w:r>
        <w:r w:rsidRPr="50A52D89" w:rsidR="50A52D89">
          <w:rPr>
            <w:rStyle w:val="Hyperlink"/>
          </w:rPr>
          <w:t>RESUMO</w:t>
        </w:r>
        <w:r>
          <w:tab/>
        </w:r>
        <w:r>
          <w:fldChar w:fldCharType="begin"/>
        </w:r>
        <w:r>
          <w:instrText xml:space="preserve">PAGEREF _Toc360994867 \h</w:instrText>
        </w:r>
        <w:r>
          <w:fldChar w:fldCharType="separate"/>
        </w:r>
        <w:r w:rsidRPr="50A52D89" w:rsidR="50A52D89">
          <w:rPr>
            <w:rStyle w:val="Hyperlink"/>
          </w:rPr>
          <w:t>1</w:t>
        </w:r>
        <w:r>
          <w:fldChar w:fldCharType="end"/>
        </w:r>
      </w:hyperlink>
    </w:p>
    <w:p w:rsidR="000E2050" w:rsidP="50A52D89" w:rsidRDefault="00DA3DB4" w14:paraId="70752E5C" w14:textId="7402A93C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861026896">
        <w:r w:rsidRPr="50A52D89" w:rsidR="50A52D89">
          <w:rPr>
            <w:rStyle w:val="Hyperlink"/>
          </w:rPr>
          <w:t>2.</w:t>
        </w:r>
        <w:r>
          <w:tab/>
        </w:r>
        <w:r w:rsidRPr="50A52D89" w:rsidR="50A52D89">
          <w:rPr>
            <w:rStyle w:val="Hyperlink"/>
          </w:rPr>
          <w:t>SUMÁRIO</w:t>
        </w:r>
        <w:r>
          <w:tab/>
        </w:r>
        <w:r>
          <w:fldChar w:fldCharType="begin"/>
        </w:r>
        <w:r>
          <w:instrText xml:space="preserve">PAGEREF _Toc861026896 \h</w:instrText>
        </w:r>
        <w:r>
          <w:fldChar w:fldCharType="separate"/>
        </w:r>
        <w:r w:rsidRPr="50A52D89" w:rsidR="50A52D89">
          <w:rPr>
            <w:rStyle w:val="Hyperlink"/>
          </w:rPr>
          <w:t>2</w:t>
        </w:r>
        <w:r>
          <w:fldChar w:fldCharType="end"/>
        </w:r>
      </w:hyperlink>
    </w:p>
    <w:p w:rsidR="000E2050" w:rsidP="50A52D89" w:rsidRDefault="00DA3DB4" w14:paraId="5A8078A8" w14:textId="41461A91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051165405">
        <w:r w:rsidRPr="50A52D89" w:rsidR="50A52D89">
          <w:rPr>
            <w:rStyle w:val="Hyperlink"/>
          </w:rPr>
          <w:t>3.</w:t>
        </w:r>
        <w:r>
          <w:tab/>
        </w:r>
        <w:r w:rsidRPr="50A52D89" w:rsidR="50A52D89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_Toc1051165405 \h</w:instrText>
        </w:r>
        <w:r>
          <w:fldChar w:fldCharType="separate"/>
        </w:r>
        <w:r w:rsidRPr="50A52D89" w:rsidR="50A52D89">
          <w:rPr>
            <w:rStyle w:val="Hyperlink"/>
          </w:rPr>
          <w:t>3</w:t>
        </w:r>
        <w:r>
          <w:fldChar w:fldCharType="end"/>
        </w:r>
      </w:hyperlink>
    </w:p>
    <w:p w:rsidR="000E2050" w:rsidP="50A52D89" w:rsidRDefault="00DA3DB4" w14:paraId="0DA19AFA" w14:textId="05ACB797">
      <w:pPr>
        <w:pStyle w:val="Sumrio1"/>
        <w:tabs>
          <w:tab w:val="left" w:leader="none" w:pos="435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108428941">
        <w:r w:rsidRPr="50A52D89" w:rsidR="50A52D89">
          <w:rPr>
            <w:rStyle w:val="Hyperlink"/>
          </w:rPr>
          <w:t>4.</w:t>
        </w:r>
        <w:r>
          <w:tab/>
        </w:r>
        <w:r w:rsidRPr="50A52D89" w:rsidR="50A52D89">
          <w:rPr>
            <w:rStyle w:val="Hyperlink"/>
          </w:rPr>
          <w:t>ANÁLISE - LATA DE ENERGÉTICO</w:t>
        </w:r>
        <w:r>
          <w:tab/>
        </w:r>
        <w:r>
          <w:fldChar w:fldCharType="begin"/>
        </w:r>
        <w:r>
          <w:instrText xml:space="preserve">PAGEREF _Toc1108428941 \h</w:instrText>
        </w:r>
        <w:r>
          <w:fldChar w:fldCharType="separate"/>
        </w:r>
        <w:r w:rsidRPr="50A52D89" w:rsidR="50A52D89">
          <w:rPr>
            <w:rStyle w:val="Hyperlink"/>
          </w:rPr>
          <w:t>4</w:t>
        </w:r>
        <w:r>
          <w:fldChar w:fldCharType="end"/>
        </w:r>
      </w:hyperlink>
    </w:p>
    <w:p w:rsidR="000E2050" w:rsidP="50A52D89" w:rsidRDefault="00DA3DB4" w14:paraId="0BC32969" w14:textId="6F179CD5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1450905294">
        <w:r w:rsidRPr="50A52D89" w:rsidR="50A52D89">
          <w:rPr>
            <w:rStyle w:val="Hyperlink"/>
          </w:rPr>
          <w:t>4.1</w:t>
        </w:r>
        <w:r>
          <w:tab/>
        </w:r>
        <w:r w:rsidRPr="50A52D89" w:rsidR="50A52D89">
          <w:rPr>
            <w:rStyle w:val="Hyperlink"/>
          </w:rPr>
          <w:t>Detalhes do produto ou serviço</w:t>
        </w:r>
        <w:r>
          <w:tab/>
        </w:r>
        <w:r>
          <w:fldChar w:fldCharType="begin"/>
        </w:r>
        <w:r>
          <w:instrText xml:space="preserve">PAGEREF _Toc1450905294 \h</w:instrText>
        </w:r>
        <w:r>
          <w:fldChar w:fldCharType="separate"/>
        </w:r>
        <w:r w:rsidRPr="50A52D89" w:rsidR="50A52D89">
          <w:rPr>
            <w:rStyle w:val="Hyperlink"/>
          </w:rPr>
          <w:t>5</w:t>
        </w:r>
        <w:r>
          <w:fldChar w:fldCharType="end"/>
        </w:r>
      </w:hyperlink>
    </w:p>
    <w:p w:rsidR="000E2050" w:rsidP="50A52D89" w:rsidRDefault="00DA3DB4" w14:paraId="59186AA6" w14:textId="5D16C71D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286599168">
        <w:r w:rsidRPr="50A52D89" w:rsidR="50A52D89">
          <w:rPr>
            <w:rStyle w:val="Hyperlink"/>
          </w:rPr>
          <w:t>4.2</w:t>
        </w:r>
        <w:r>
          <w:tab/>
        </w:r>
        <w:r w:rsidRPr="50A52D89" w:rsidR="50A52D89">
          <w:rPr>
            <w:rStyle w:val="Hyperlink"/>
          </w:rPr>
          <w:t>Tabela de Análise</w:t>
        </w:r>
        <w:r>
          <w:tab/>
        </w:r>
        <w:r>
          <w:fldChar w:fldCharType="begin"/>
        </w:r>
        <w:r>
          <w:instrText xml:space="preserve">PAGEREF _Toc286599168 \h</w:instrText>
        </w:r>
        <w:r>
          <w:fldChar w:fldCharType="separate"/>
        </w:r>
        <w:r w:rsidRPr="50A52D89" w:rsidR="50A52D89">
          <w:rPr>
            <w:rStyle w:val="Hyperlink"/>
          </w:rPr>
          <w:t>5</w:t>
        </w:r>
        <w:r>
          <w:fldChar w:fldCharType="end"/>
        </w:r>
      </w:hyperlink>
    </w:p>
    <w:p w:rsidR="000E2050" w:rsidP="50A52D89" w:rsidRDefault="00DA3DB4" w14:paraId="18C0436A" w14:textId="36F3FF91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832146751">
        <w:r w:rsidRPr="50A52D89" w:rsidR="50A52D89">
          <w:rPr>
            <w:rStyle w:val="Hyperlink"/>
          </w:rPr>
          <w:t>4.3</w:t>
        </w:r>
        <w:r>
          <w:tab/>
        </w:r>
        <w:r w:rsidRPr="50A52D89" w:rsidR="50A52D89">
          <w:rPr>
            <w:rStyle w:val="Hyperlink"/>
          </w:rPr>
          <w:t>Relatório</w:t>
        </w:r>
        <w:r>
          <w:tab/>
        </w:r>
        <w:r>
          <w:fldChar w:fldCharType="begin"/>
        </w:r>
        <w:r>
          <w:instrText xml:space="preserve">PAGEREF _Toc832146751 \h</w:instrText>
        </w:r>
        <w:r>
          <w:fldChar w:fldCharType="separate"/>
        </w:r>
        <w:r w:rsidRPr="50A52D89" w:rsidR="50A52D89">
          <w:rPr>
            <w:rStyle w:val="Hyperlink"/>
          </w:rPr>
          <w:t>6</w:t>
        </w:r>
        <w:r>
          <w:fldChar w:fldCharType="end"/>
        </w:r>
      </w:hyperlink>
    </w:p>
    <w:p w:rsidR="000E2050" w:rsidP="50A52D89" w:rsidRDefault="00DA3DB4" w14:paraId="22E6FC92" w14:textId="5F5611A4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5258565">
        <w:r w:rsidRPr="50A52D89" w:rsidR="50A52D89">
          <w:rPr>
            <w:rStyle w:val="Hyperlink"/>
          </w:rPr>
          <w:t>4.4</w:t>
        </w:r>
        <w:r>
          <w:tab/>
        </w:r>
        <w:r w:rsidRPr="50A52D89" w:rsidR="50A52D89">
          <w:rPr>
            <w:rStyle w:val="Hyperlink"/>
          </w:rPr>
          <w:t>Evidências</w:t>
        </w:r>
        <w:r>
          <w:tab/>
        </w:r>
        <w:r>
          <w:fldChar w:fldCharType="begin"/>
        </w:r>
        <w:r>
          <w:instrText xml:space="preserve">PAGEREF _Toc995258565 \h</w:instrText>
        </w:r>
        <w:r>
          <w:fldChar w:fldCharType="separate"/>
        </w:r>
        <w:r w:rsidRPr="50A52D89" w:rsidR="50A52D89">
          <w:rPr>
            <w:rStyle w:val="Hyperlink"/>
          </w:rPr>
          <w:t>6</w:t>
        </w:r>
        <w:r>
          <w:fldChar w:fldCharType="end"/>
        </w:r>
      </w:hyperlink>
    </w:p>
    <w:p w:rsidR="000E2050" w:rsidP="50A52D89" w:rsidRDefault="00DA3DB4" w14:paraId="12743652" w14:textId="6BA28F3E">
      <w:pPr>
        <w:pStyle w:val="Sumrio2"/>
        <w:tabs>
          <w:tab w:val="left" w:leader="none" w:pos="72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2024916804">
        <w:r w:rsidRPr="50A52D89" w:rsidR="50A52D89">
          <w:rPr>
            <w:rStyle w:val="Hyperlink"/>
          </w:rPr>
          <w:t>4.5</w:t>
        </w:r>
        <w:r>
          <w:tab/>
        </w:r>
        <w:r w:rsidRPr="50A52D89" w:rsidR="50A52D89">
          <w:rPr>
            <w:rStyle w:val="Hyperlink"/>
          </w:rPr>
          <w:t>Onde encontrar</w:t>
        </w:r>
        <w:r>
          <w:tab/>
        </w:r>
        <w:r>
          <w:fldChar w:fldCharType="begin"/>
        </w:r>
        <w:r>
          <w:instrText xml:space="preserve">PAGEREF _Toc2024916804 \h</w:instrText>
        </w:r>
        <w:r>
          <w:fldChar w:fldCharType="separate"/>
        </w:r>
        <w:r w:rsidRPr="50A52D89" w:rsidR="50A52D89">
          <w:rPr>
            <w:rStyle w:val="Hyperlink"/>
          </w:rPr>
          <w:t>8</w:t>
        </w:r>
        <w:r>
          <w:fldChar w:fldCharType="end"/>
        </w:r>
      </w:hyperlink>
    </w:p>
    <w:p w:rsidR="000E2050" w:rsidP="50A52D89" w:rsidRDefault="00DA3DB4" w14:paraId="0F54B3FF" w14:textId="15D3F7DC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444206559">
        <w:r w:rsidRPr="50A52D89" w:rsidR="50A52D89">
          <w:rPr>
            <w:rStyle w:val="Hyperlink"/>
          </w:rPr>
          <w:t>5.</w:t>
        </w:r>
        <w:r>
          <w:tab/>
        </w:r>
        <w:r w:rsidRPr="50A52D89" w:rsidR="50A52D89">
          <w:rPr>
            <w:rStyle w:val="Hyperlink"/>
          </w:rPr>
          <w:t>CONCLUSÃO</w:t>
        </w:r>
        <w:r>
          <w:tab/>
        </w:r>
        <w:r>
          <w:fldChar w:fldCharType="begin"/>
        </w:r>
        <w:r>
          <w:instrText xml:space="preserve">PAGEREF _Toc1444206559 \h</w:instrText>
        </w:r>
        <w:r>
          <w:fldChar w:fldCharType="separate"/>
        </w:r>
        <w:r w:rsidRPr="50A52D89" w:rsidR="50A52D89">
          <w:rPr>
            <w:rStyle w:val="Hyperlink"/>
          </w:rPr>
          <w:t>8</w:t>
        </w:r>
        <w:r>
          <w:fldChar w:fldCharType="end"/>
        </w:r>
      </w:hyperlink>
    </w:p>
    <w:p w:rsidR="50A52D89" w:rsidP="50A52D89" w:rsidRDefault="50A52D89" w14:paraId="124BAA2B" w14:textId="3750CDCB">
      <w:pPr>
        <w:pStyle w:val="Sumrio1"/>
        <w:tabs>
          <w:tab w:val="left" w:leader="none" w:pos="435"/>
          <w:tab w:val="right" w:leader="dot" w:pos="8490"/>
        </w:tabs>
      </w:pPr>
      <w:hyperlink w:anchor="_Toc1804207629">
        <w:r w:rsidRPr="50A52D89" w:rsidR="50A52D89">
          <w:rPr>
            <w:rStyle w:val="Hyperlink"/>
          </w:rPr>
          <w:t>6.</w:t>
        </w:r>
        <w:r>
          <w:tab/>
        </w:r>
        <w:r w:rsidRPr="50A52D89" w:rsidR="50A52D89">
          <w:rPr>
            <w:rStyle w:val="Hyperlink"/>
          </w:rPr>
          <w:t>REFERÊNCIAS BIBLIOGRÁFICAS</w:t>
        </w:r>
        <w:r>
          <w:tab/>
        </w:r>
        <w:r>
          <w:fldChar w:fldCharType="begin"/>
        </w:r>
        <w:r>
          <w:instrText xml:space="preserve">PAGEREF _Toc1804207629 \h</w:instrText>
        </w:r>
        <w:r>
          <w:fldChar w:fldCharType="separate"/>
        </w:r>
        <w:r w:rsidRPr="50A52D89" w:rsidR="50A52D89">
          <w:rPr>
            <w:rStyle w:val="Hyperlink"/>
          </w:rPr>
          <w:t>8</w:t>
        </w:r>
        <w:r>
          <w:fldChar w:fldCharType="end"/>
        </w:r>
      </w:hyperlink>
      <w:r>
        <w:fldChar w:fldCharType="end"/>
      </w:r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  <w:rPr/>
      </w:pPr>
      <w:bookmarkStart w:name="_Toc1051165405" w:id="987488718"/>
      <w:r w:rsidR="00872A27">
        <w:rPr/>
        <w:t>INTRODUÇÃO</w:t>
      </w:r>
      <w:bookmarkEnd w:id="987488718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A8876DA" w:rsidP="6B069F9C" w:rsidRDefault="4A8876DA" w14:paraId="50A7A12B" w14:textId="195D52A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B069F9C" w:rsidR="4A8876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 a grande</w:t>
      </w:r>
      <w:r w:rsidRPr="6B069F9C" w:rsidR="4A8876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B069F9C" w:rsidR="4A8876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produção </w:t>
      </w:r>
      <w:r w:rsidRPr="6B069F9C" w:rsidR="13195C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 bebidas</w:t>
      </w:r>
      <w:r w:rsidRPr="6B069F9C" w:rsidR="55FDAF8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6B069F9C" w:rsidR="031336A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como</w:t>
      </w:r>
      <w:r w:rsidRPr="6B069F9C" w:rsidR="4A8876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sucos, refrigerantes e bebidas </w:t>
      </w:r>
      <w:r w:rsidRPr="6B069F9C" w:rsidR="1BF95B8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alcoólicas</w:t>
      </w:r>
      <w:r w:rsidRPr="6B069F9C" w:rsidR="3ED89B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diversas marcas tentam encontrar maneiras distintas de tornar seus produtos únicos, </w:t>
      </w:r>
      <w:r w:rsidRPr="6B069F9C" w:rsidR="34507A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uma</w:t>
      </w:r>
      <w:r w:rsidRPr="6B069F9C" w:rsidR="3ED89B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B069F9C" w:rsidR="34507A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vez que, com a inovação </w:t>
      </w:r>
      <w:r w:rsidRPr="6B069F9C" w:rsidR="40CE3C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reinvenção de</w:t>
      </w:r>
      <w:r w:rsidRPr="6B069F9C" w:rsidR="34507A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produtos pode se criar vantagens de vendas</w:t>
      </w:r>
      <w:r w:rsidRPr="6B069F9C" w:rsidR="08C081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satisfação</w:t>
      </w:r>
      <w:r w:rsidRPr="6B069F9C" w:rsidR="34507AA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6B069F9C" w:rsidR="21FAFD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6B069F9C" w:rsidR="05239EED">
        <w:rPr>
          <w:rFonts w:ascii="Arial" w:hAnsi="Arial" w:eastAsia="Arial" w:cs="Arial"/>
          <w:noProof w:val="0"/>
          <w:sz w:val="24"/>
          <w:szCs w:val="24"/>
          <w:lang w:val="pt-BR"/>
        </w:rPr>
        <w:t>A inovação no design, por exemplo, torna um produto mais moderno em sua categoria,</w:t>
      </w:r>
      <w:r w:rsidRPr="6B069F9C" w:rsidR="647C4F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B069F9C" w:rsidR="7EC9ADD5">
        <w:rPr>
          <w:rFonts w:ascii="Arial" w:hAnsi="Arial" w:eastAsia="Arial" w:cs="Arial"/>
          <w:noProof w:val="0"/>
          <w:sz w:val="24"/>
          <w:szCs w:val="24"/>
          <w:lang w:val="pt-BR"/>
        </w:rPr>
        <w:t>atraindo atenção e criando curiosidade sobre o item</w:t>
      </w:r>
      <w:r w:rsidRPr="6B069F9C" w:rsidR="647C4F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</w:p>
    <w:p w:rsidR="646D471D" w:rsidP="6B069F9C" w:rsidRDefault="646D471D" w14:paraId="0F7C2708" w14:textId="1CC2C34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A52D89" w:rsidR="646D471D">
        <w:rPr>
          <w:rFonts w:ascii="Arial" w:hAnsi="Arial" w:eastAsia="Arial" w:cs="Arial"/>
          <w:noProof w:val="0"/>
          <w:sz w:val="24"/>
          <w:szCs w:val="24"/>
          <w:lang w:val="pt-BR"/>
        </w:rPr>
        <w:t>Com isso, p</w:t>
      </w:r>
      <w:r w:rsidRPr="50A52D89" w:rsidR="647C4F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ode-se citar a </w:t>
      </w:r>
      <w:r w:rsidRPr="50A52D89" w:rsidR="05239EE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marca de </w:t>
      </w:r>
      <w:r w:rsidRPr="50A52D89" w:rsidR="66EF1A1D">
        <w:rPr>
          <w:rFonts w:ascii="Arial" w:hAnsi="Arial" w:eastAsia="Arial" w:cs="Arial"/>
          <w:noProof w:val="0"/>
          <w:sz w:val="24"/>
          <w:szCs w:val="24"/>
          <w:lang w:val="pt-BR"/>
        </w:rPr>
        <w:t>energéticos Monster Energy, que visa trazer uma reinvenção em suas embalagens</w:t>
      </w:r>
      <w:r w:rsidRPr="50A52D89" w:rsidR="307764D0">
        <w:rPr>
          <w:rFonts w:ascii="Arial" w:hAnsi="Arial" w:eastAsia="Arial" w:cs="Arial"/>
          <w:noProof w:val="0"/>
          <w:sz w:val="24"/>
          <w:szCs w:val="24"/>
          <w:lang w:val="pt-BR"/>
        </w:rPr>
        <w:t>, com desenhos e formas sobressalentes</w:t>
      </w:r>
      <w:r w:rsidRPr="50A52D89" w:rsidR="33B236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convidando as pessoas a conhecerem melhor seu produto pela sua beleza </w:t>
      </w:r>
      <w:r w:rsidRPr="50A52D89" w:rsidR="111766F7">
        <w:rPr>
          <w:rFonts w:ascii="Arial" w:hAnsi="Arial" w:eastAsia="Arial" w:cs="Arial"/>
          <w:noProof w:val="0"/>
          <w:sz w:val="24"/>
          <w:szCs w:val="24"/>
          <w:lang w:val="pt-BR"/>
        </w:rPr>
        <w:t>estética</w:t>
      </w:r>
      <w:r w:rsidRPr="50A52D89" w:rsidR="307764D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50A52D89" w:rsidR="2FFE80B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0A52D89" w:rsidR="3CFA8368">
        <w:rPr>
          <w:rFonts w:ascii="Arial" w:hAnsi="Arial" w:eastAsia="Arial" w:cs="Arial"/>
          <w:noProof w:val="0"/>
          <w:sz w:val="24"/>
          <w:szCs w:val="24"/>
          <w:lang w:val="pt-BR"/>
        </w:rPr>
        <w:t>Entretanto,</w:t>
      </w:r>
      <w:r w:rsidRPr="50A52D89" w:rsidR="65E4450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</w:t>
      </w:r>
      <w:r w:rsidRPr="50A52D89" w:rsidR="487EF2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extrema importância</w:t>
      </w:r>
      <w:r w:rsidRPr="50A52D89" w:rsidR="7AD1E8EE">
        <w:rPr>
          <w:rFonts w:ascii="Arial" w:hAnsi="Arial" w:eastAsia="Arial" w:cs="Arial"/>
          <w:noProof w:val="0"/>
          <w:sz w:val="24"/>
          <w:szCs w:val="24"/>
          <w:lang w:val="pt-BR"/>
        </w:rPr>
        <w:t>, principalmente para</w:t>
      </w:r>
      <w:r w:rsidRPr="50A52D89" w:rsidR="487EF2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marcas que visão seus esforços no primeiro contato </w:t>
      </w:r>
      <w:r w:rsidRPr="50A52D89" w:rsidR="09C65772">
        <w:rPr>
          <w:rFonts w:ascii="Arial" w:hAnsi="Arial" w:eastAsia="Arial" w:cs="Arial"/>
          <w:noProof w:val="0"/>
          <w:sz w:val="24"/>
          <w:szCs w:val="24"/>
          <w:lang w:val="pt-BR"/>
        </w:rPr>
        <w:t>do cliente com seus produtos</w:t>
      </w:r>
      <w:r w:rsidRPr="50A52D89" w:rsidR="2C0F0225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50A52D89" w:rsidR="09C6577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terem uma boa gest</w:t>
      </w:r>
      <w:r w:rsidRPr="50A52D89" w:rsidR="7F14CB1A">
        <w:rPr>
          <w:rFonts w:ascii="Arial" w:hAnsi="Arial" w:eastAsia="Arial" w:cs="Arial"/>
          <w:noProof w:val="0"/>
          <w:sz w:val="24"/>
          <w:szCs w:val="24"/>
          <w:lang w:val="pt-BR"/>
        </w:rPr>
        <w:t>ão de qualidade</w:t>
      </w:r>
      <w:r w:rsidRPr="50A52D89" w:rsidR="09C6577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0A52D89" w:rsidR="10F4E69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uma vez que, a experiencia inicial deve superar as expectativas, gerando confiança </w:t>
      </w:r>
      <w:r w:rsidRPr="50A52D89" w:rsidR="486C9B9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 reputação entre a relação </w:t>
      </w:r>
      <w:r w:rsidRPr="50A52D89" w:rsidR="6927B07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 </w:t>
      </w:r>
      <w:r w:rsidRPr="50A52D89" w:rsidR="486C9B9F">
        <w:rPr>
          <w:rFonts w:ascii="Arial" w:hAnsi="Arial" w:eastAsia="Arial" w:cs="Arial"/>
          <w:noProof w:val="0"/>
          <w:sz w:val="24"/>
          <w:szCs w:val="24"/>
          <w:lang w:val="pt-BR"/>
        </w:rPr>
        <w:t>cliente/produto.</w:t>
      </w:r>
      <w:r w:rsidRPr="50A52D89" w:rsidR="10F4E69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B069F9C" w:rsidP="6B069F9C" w:rsidRDefault="6B069F9C" w14:paraId="2D19DF7F" w14:textId="2982CB6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A8876DA" w:rsidP="6B069F9C" w:rsidRDefault="4A8876DA" w14:paraId="544C91A1" w14:textId="5CC4806F">
      <w:pPr>
        <w:pStyle w:val="Ttulo1"/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both"/>
        <w:rPr/>
      </w:pPr>
      <w:bookmarkStart w:name="_Toc1108428941" w:id="1933128984"/>
      <w:r w:rsidR="1B15B98C">
        <w:rPr/>
        <w:t>ANÁLISE</w:t>
      </w:r>
      <w:r w:rsidR="1B15B98C">
        <w:rPr/>
        <w:t xml:space="preserve"> - LATA DE ENERGÉTICO</w:t>
      </w:r>
      <w:bookmarkEnd w:id="1933128984"/>
    </w:p>
    <w:p w:rsidR="014C8B3E" w:rsidP="6B069F9C" w:rsidRDefault="014C8B3E" w14:paraId="48793D55" w14:textId="429AE50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50A52D89" w:rsidR="014C8B3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objeto de estudo trata-se de uma das diversas variações de energéticos da marca Monster </w:t>
      </w:r>
      <w:r w:rsidRPr="50A52D89" w:rsidR="724367E3">
        <w:rPr>
          <w:rFonts w:ascii="Arial" w:hAnsi="Arial" w:cs="Arial"/>
          <w:color w:val="000000" w:themeColor="text1" w:themeTint="FF" w:themeShade="FF"/>
          <w:sz w:val="24"/>
          <w:szCs w:val="24"/>
        </w:rPr>
        <w:t>E</w:t>
      </w:r>
      <w:r w:rsidRPr="50A52D89" w:rsidR="014C8B3E">
        <w:rPr>
          <w:rFonts w:ascii="Arial" w:hAnsi="Arial" w:cs="Arial"/>
          <w:color w:val="000000" w:themeColor="text1" w:themeTint="FF" w:themeShade="FF"/>
          <w:sz w:val="24"/>
          <w:szCs w:val="24"/>
        </w:rPr>
        <w:t>ner</w:t>
      </w:r>
      <w:r w:rsidRPr="50A52D89" w:rsidR="6B49F07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gy. O foco da análise </w:t>
      </w:r>
      <w:r w:rsidRPr="50A52D89" w:rsidR="48E06840">
        <w:rPr>
          <w:rFonts w:ascii="Arial" w:hAnsi="Arial" w:cs="Arial"/>
          <w:color w:val="000000" w:themeColor="text1" w:themeTint="FF" w:themeShade="FF"/>
          <w:sz w:val="24"/>
          <w:szCs w:val="24"/>
        </w:rPr>
        <w:t>é</w:t>
      </w:r>
      <w:r w:rsidRPr="50A52D89" w:rsidR="6B49F07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identificar e garantir que todas suas características estejam dentro do padrão </w:t>
      </w:r>
      <w:r w:rsidRPr="50A52D89" w:rsidR="60BD5D95">
        <w:rPr>
          <w:rFonts w:ascii="Arial" w:hAnsi="Arial" w:cs="Arial"/>
          <w:color w:val="000000" w:themeColor="text1" w:themeTint="FF" w:themeShade="FF"/>
          <w:sz w:val="24"/>
          <w:szCs w:val="24"/>
        </w:rPr>
        <w:t>além de</w:t>
      </w:r>
      <w:r w:rsidRPr="50A52D89" w:rsidR="6B49F07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relatar </w:t>
      </w:r>
      <w:r w:rsidRPr="50A52D89" w:rsidR="54EB5BBC">
        <w:rPr>
          <w:rFonts w:ascii="Arial" w:hAnsi="Arial" w:cs="Arial"/>
          <w:color w:val="000000" w:themeColor="text1" w:themeTint="FF" w:themeShade="FF"/>
          <w:sz w:val="24"/>
          <w:szCs w:val="24"/>
        </w:rPr>
        <w:t>sobre</w:t>
      </w:r>
      <w:r w:rsidRPr="50A52D89" w:rsidR="6B49F07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50A52D89" w:rsidR="5991437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 </w:t>
      </w:r>
      <w:r w:rsidRPr="50A52D89" w:rsidR="6B49F070">
        <w:rPr>
          <w:rFonts w:ascii="Arial" w:hAnsi="Arial" w:cs="Arial"/>
          <w:color w:val="000000" w:themeColor="text1" w:themeTint="FF" w:themeShade="FF"/>
          <w:sz w:val="24"/>
          <w:szCs w:val="24"/>
        </w:rPr>
        <w:t>experiencia e q</w:t>
      </w:r>
      <w:r w:rsidRPr="50A52D89" w:rsidR="32E4348D">
        <w:rPr>
          <w:rFonts w:ascii="Arial" w:hAnsi="Arial" w:cs="Arial"/>
          <w:color w:val="000000" w:themeColor="text1" w:themeTint="FF" w:themeShade="FF"/>
          <w:sz w:val="24"/>
          <w:szCs w:val="24"/>
        </w:rPr>
        <w:t>ualidade d</w:t>
      </w:r>
      <w:r w:rsidRPr="50A52D89" w:rsidR="11119D00">
        <w:rPr>
          <w:rFonts w:ascii="Arial" w:hAnsi="Arial" w:cs="Arial"/>
          <w:color w:val="000000" w:themeColor="text1" w:themeTint="FF" w:themeShade="FF"/>
          <w:sz w:val="24"/>
          <w:szCs w:val="24"/>
        </w:rPr>
        <w:t>a embalagem do produto</w:t>
      </w:r>
      <w:r w:rsidRPr="50A52D89" w:rsidR="32E4348D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w:rsidR="6B069F9C" w:rsidP="6B069F9C" w:rsidRDefault="6B069F9C" w14:paraId="609FE9FB" w14:textId="0BA0FBA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  <w:rPr/>
      </w:pPr>
      <w:bookmarkStart w:name="_Toc1450905294" w:id="953333819"/>
      <w:r w:rsidR="00847CD2">
        <w:rPr/>
        <w:t>Detalhes do produto ou serviço</w:t>
      </w:r>
      <w:bookmarkEnd w:id="953333819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B069F9C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B069F9C" w:rsidRDefault="00847CD2" w14:paraId="32DBD95A" w14:textId="4B61800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B069F9C" w:rsidR="6B105F3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Monster Energy Ultra Violet</w:t>
            </w:r>
          </w:p>
        </w:tc>
      </w:tr>
      <w:tr w:rsidRPr="00117BBE" w:rsidR="00847CD2" w:rsidTr="6B069F9C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B069F9C" w:rsidRDefault="00847CD2" w14:paraId="2717FFF2" w14:textId="6B9AD3C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B069F9C" w:rsidR="5F3A27D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Monster Energy</w:t>
            </w:r>
          </w:p>
        </w:tc>
      </w:tr>
      <w:tr w:rsidRPr="00117BBE" w:rsidR="00847CD2" w:rsidTr="6B069F9C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B069F9C" w:rsidRDefault="00847CD2" w14:paraId="7E1CC803" w14:textId="6CE35D48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B069F9C" w:rsidR="5312891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Mais de 5 Anos.</w:t>
            </w:r>
          </w:p>
        </w:tc>
      </w:tr>
      <w:tr w:rsidRPr="00117BBE" w:rsidR="00847CD2" w:rsidTr="6B069F9C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6B069F9C" w:rsidRDefault="00847CD2" w14:paraId="61BE7D1A" w14:textId="5751940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B069F9C" w:rsidR="545252A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O foco da análise está relacionado a embalagem, sendo desconsiderado a bebida energética em si. 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  <w:rPr/>
      </w:pPr>
      <w:bookmarkStart w:name="_Toc286599168" w:id="1069191213"/>
      <w:r w:rsidR="00847CD2">
        <w:rPr/>
        <w:t>Tabela de Análise</w:t>
      </w:r>
      <w:bookmarkEnd w:id="1069191213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50A52D89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50A52D89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6B069F9C" w:rsidRDefault="0005157A" w14:paraId="515D0A6C" w14:textId="0A31B6CF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0A52D89" w:rsidR="2BAA23C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lata em si tem o enfoque </w:t>
            </w:r>
            <w:r w:rsidRPr="50A52D89" w:rsidR="78E7E45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de </w:t>
            </w:r>
            <w:r w:rsidRPr="50A52D89" w:rsidR="2BAA23C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trazer</w:t>
            </w:r>
            <w:r w:rsidRPr="50A52D89" w:rsidR="2356D19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</w:t>
            </w:r>
            <w:r w:rsidRPr="50A52D89" w:rsidR="2BAA23C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atenção ao produto, sendo </w:t>
            </w:r>
            <w:r w:rsidRPr="50A52D89" w:rsidR="485BEDB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destacando-se</w:t>
            </w:r>
            <w:r w:rsidRPr="50A52D89" w:rsidR="2BAA23C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quando comparado a</w:t>
            </w:r>
            <w:r w:rsidRPr="50A52D89" w:rsidR="2BAA23C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outros produtos do mercado que trabalham com abordagens mais</w:t>
            </w:r>
            <w:r w:rsidRPr="50A52D89" w:rsidR="28D740A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simples.</w:t>
            </w:r>
            <w:r w:rsidRPr="50A52D89" w:rsidR="3746C78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Atualmente as embalagens são utilizadas como decoraçã</w:t>
            </w:r>
            <w:r w:rsidRPr="50A52D89" w:rsidR="474093F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o, dado que, existem muitas pessoas que colecionam as </w:t>
            </w:r>
            <w:r w:rsidRPr="50A52D89" w:rsidR="5EE004E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inúmeras</w:t>
            </w:r>
            <w:r w:rsidRPr="50A52D89" w:rsidR="474093F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variações</w:t>
            </w:r>
            <w:r w:rsidRPr="50A52D89" w:rsidR="12F2EB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da embalagem</w:t>
            </w:r>
            <w:r w:rsidRPr="50A52D89" w:rsidR="474093F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</w:t>
            </w:r>
            <w:r w:rsidRPr="50A52D89" w:rsidR="3BE363A7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uma vez que são</w:t>
            </w:r>
            <w:r w:rsidRPr="50A52D89" w:rsidR="474093F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impulsionadas pela sua </w:t>
            </w:r>
            <w:r w:rsidRPr="50A52D89" w:rsidR="637BFE0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aparência</w:t>
            </w:r>
            <w:r w:rsidRPr="50A52D89" w:rsidR="3746C78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  <w:tc>
          <w:tcPr>
            <w:tcW w:w="3544" w:type="dxa"/>
            <w:tcMar/>
          </w:tcPr>
          <w:p w:rsidRPr="00353E6F" w:rsidR="0005157A" w:rsidP="6B069F9C" w:rsidRDefault="0005157A" w14:paraId="68AEA510" w14:textId="111EAAB4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B069F9C" w:rsidR="7DA7899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Imagem 1</w:t>
            </w:r>
            <w:r w:rsidRPr="6B069F9C" w:rsidR="7DA7899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– Embalagem do energético.</w:t>
            </w:r>
          </w:p>
          <w:p w:rsidRPr="00353E6F" w:rsidR="0005157A" w:rsidP="6B069F9C" w:rsidRDefault="0005157A" w14:paraId="0747BB1A" w14:textId="41B0B690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="69A74141">
              <w:drawing>
                <wp:inline wp14:editId="1CCFC903" wp14:anchorId="31CC9D42">
                  <wp:extent cx="1419225" cy="2371725"/>
                  <wp:effectExtent l="0" t="0" r="0" b="0"/>
                  <wp:docPr id="16945772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b7b2f7a4f1640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3E6F" w:rsidR="0005157A" w:rsidP="6B069F9C" w:rsidRDefault="0005157A" w14:paraId="22E3DA41" w14:textId="5FEE40B9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B069F9C" w:rsidR="69A7414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Fonte: </w:t>
            </w:r>
            <w:r w:rsidRPr="6B069F9C" w:rsidR="69A7414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própria</w:t>
            </w:r>
            <w:r w:rsidRPr="6B069F9C" w:rsidR="69A7414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, 2024.</w:t>
            </w:r>
          </w:p>
        </w:tc>
      </w:tr>
      <w:tr w:rsidRPr="00117BBE" w:rsidR="0005157A" w:rsidTr="50A52D89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50A52D89" w:rsidRDefault="0005157A" w14:paraId="4D15E16D" w14:textId="0817205B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0A52D89" w:rsidR="46D921A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Alumínio 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0A52D89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6B069F9C" w:rsidRDefault="0005157A" w14:paraId="5744079D" w14:textId="3A236CCB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0A52D89" w:rsidR="1C95970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embalagem não apresenta qualquer tipo de </w:t>
            </w:r>
            <w:r w:rsidRPr="50A52D89" w:rsidR="53C2231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deformação, desgaste</w:t>
            </w:r>
            <w:r w:rsidRPr="50A52D89" w:rsidR="1C95970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geral, corrosão</w:t>
            </w:r>
            <w:r w:rsidRPr="50A52D89" w:rsidR="4B500CB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ou</w:t>
            </w:r>
            <w:r w:rsidRPr="50A52D89" w:rsidR="1C95970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perca de colora</w:t>
            </w:r>
            <w:r w:rsidRPr="50A52D89" w:rsidR="0E845D0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ção</w:t>
            </w:r>
            <w:r w:rsidRPr="50A52D89" w:rsidR="409F1A8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 destacando-se uma vez que a embalagem apresenta mais de 5 anos de uso como decoração.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0A52D89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50A52D89" w:rsidRDefault="0005157A" w14:paraId="587E10E7" w14:textId="4072B3E1">
            <w:pPr>
              <w:pStyle w:val="Normal"/>
              <w:suppressLineNumbers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50A52D89" w:rsidR="427EDC8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Visualmente </w:t>
            </w:r>
            <w:r w:rsidRPr="50A52D89" w:rsidR="572064F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objeto de estudo contempla seu objetivo</w:t>
            </w:r>
            <w:r w:rsidRPr="50A52D89" w:rsidR="7A6CBB4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</w:t>
            </w:r>
            <w:r w:rsidRPr="50A52D89" w:rsidR="41181D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o design</w:t>
            </w:r>
            <w:r w:rsidRPr="50A52D89" w:rsidR="1BB4A83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inovador</w:t>
            </w:r>
            <w:r w:rsidRPr="50A52D89" w:rsidR="41181D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ressalta a</w:t>
            </w:r>
            <w:r w:rsidRPr="50A52D89" w:rsidR="427EDC8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riqueza </w:t>
            </w:r>
            <w:r w:rsidRPr="50A52D89" w:rsidR="7C96B28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em</w:t>
            </w:r>
            <w:r w:rsidRPr="50A52D89" w:rsidR="427EDC8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detalhes</w:t>
            </w:r>
            <w:r w:rsidRPr="50A52D89" w:rsidR="5C1FCAA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0A52D89" w:rsidR="427EDC8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sem deixar as</w:t>
            </w:r>
            <w:r w:rsidRPr="50A52D89" w:rsidR="427EDC8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informações estabelecidas po</w:t>
            </w:r>
            <w:r w:rsidRPr="50A52D89" w:rsidR="427EDC8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 lei para alimentícios de lado.</w:t>
            </w:r>
            <w:r w:rsidRPr="50A52D89" w:rsidR="2E9834E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0A52D89" w:rsidR="0E9EB6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lata possui texturas diferentes</w:t>
            </w:r>
            <w:r w:rsidRPr="50A52D89" w:rsidR="774FFFB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em sua área</w:t>
            </w:r>
            <w:r w:rsidRPr="50A52D89" w:rsidR="0E9EB6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50A52D89" w:rsidR="290BC3F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possibilitando a</w:t>
            </w:r>
            <w:r w:rsidRPr="50A52D89" w:rsidR="0E9EB6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sensação de profundidade</w:t>
            </w:r>
            <w:r w:rsidRPr="50A52D89" w:rsidR="79F8279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sem largar mão da segurança, já que</w:t>
            </w:r>
            <w:r w:rsidRPr="50A52D89" w:rsidR="15A59F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</w:t>
            </w:r>
            <w:r w:rsidRPr="50A52D89" w:rsidR="79F8279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0A52D89" w:rsidR="4745082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textura é feita de tal maneira </w:t>
            </w:r>
            <w:r w:rsidRPr="50A52D89" w:rsidR="7FE8F27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que evite</w:t>
            </w:r>
            <w:r w:rsidRPr="50A52D89" w:rsidR="5404CCE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lesões ou cortes</w:t>
            </w:r>
            <w:r w:rsidRPr="50A52D89" w:rsidR="59A6068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na mesma.</w:t>
            </w:r>
          </w:p>
        </w:tc>
        <w:tc>
          <w:tcPr>
            <w:tcW w:w="3544" w:type="dxa"/>
            <w:tcMar/>
          </w:tcPr>
          <w:p w:rsidRPr="00353E6F" w:rsidR="0005157A" w:rsidP="6B069F9C" w:rsidRDefault="0005157A" w14:paraId="2A8184D3" w14:textId="53C65459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B069F9C" w:rsidR="78FFA56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Imagem 2 </w:t>
            </w:r>
            <w:r w:rsidRPr="6B069F9C" w:rsidR="78FFA56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– Embalagem do energético em duas posições.</w:t>
            </w:r>
          </w:p>
          <w:p w:rsidRPr="00353E6F" w:rsidR="0005157A" w:rsidP="6B069F9C" w:rsidRDefault="0005157A" w14:paraId="7B1E1232" w14:textId="77276E3B">
            <w:pPr>
              <w:pStyle w:val="Normal"/>
              <w:suppressLineNumbers w:val="0"/>
              <w:bidi w:val="0"/>
              <w:spacing w:line="36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="7703252D">
              <w:drawing>
                <wp:inline wp14:editId="38C0CCFE" wp14:anchorId="2E98125D">
                  <wp:extent cx="792564" cy="1591520"/>
                  <wp:effectExtent l="0" t="0" r="0" b="0"/>
                  <wp:docPr id="8490716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8b9860f71248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64" cy="159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4582194">
              <w:drawing>
                <wp:inline wp14:editId="62B50939" wp14:anchorId="5D555329">
                  <wp:extent cx="878825" cy="1585705"/>
                  <wp:effectExtent l="0" t="0" r="0" b="0"/>
                  <wp:docPr id="17790506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7b031fc19c4c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25" cy="158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3E6F" w:rsidR="0005157A" w:rsidP="6B069F9C" w:rsidRDefault="0005157A" w14:paraId="15C36601" w14:textId="5FEE40B9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B069F9C" w:rsidR="7458219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Fonte: própria, 2024.</w:t>
            </w:r>
          </w:p>
          <w:p w:rsidRPr="00353E6F" w:rsidR="0005157A" w:rsidP="6B069F9C" w:rsidRDefault="0005157A" w14:paraId="2947805F" w14:textId="7854550E">
            <w:pPr>
              <w:pStyle w:val="Normal"/>
              <w:suppressLineNumbers w:val="0"/>
              <w:bidi w:val="0"/>
              <w:spacing w:line="36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B069F9C" w:rsidRDefault="6B069F9C" w14:paraId="68E88D51" w14:textId="22DF3506"/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006B1007">
        <w:rPr/>
        <w:t xml:space="preserve"> </w:t>
      </w:r>
      <w:bookmarkStart w:name="_Toc832146751" w:id="1755569869"/>
      <w:r w:rsidR="005B045C">
        <w:rPr/>
        <w:t>Relatório</w:t>
      </w:r>
      <w:bookmarkEnd w:id="1755569869"/>
      <w:r w:rsidR="005B045C">
        <w:rPr/>
        <w:t xml:space="preserve"> </w:t>
      </w:r>
    </w:p>
    <w:p w:rsidR="6437EFEA" w:rsidP="50A52D89" w:rsidRDefault="6437EFEA" w14:paraId="56BF12E6" w14:textId="0C9A08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0A52D89" w:rsidR="6437EF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lata de </w:t>
      </w:r>
      <w:r w:rsidRPr="50A52D89" w:rsidR="3C37C40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energético Monster</w:t>
      </w:r>
      <w:r w:rsidRPr="50A52D89" w:rsidR="6437EFE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Energy - Ultra Violet faz parte de uma coleção de outr</w:t>
      </w:r>
      <w:r w:rsidRPr="50A52D89" w:rsidR="2EC0244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variações de embalagens da mesma marca. Assim como as demais,</w:t>
      </w:r>
      <w:r w:rsidRPr="50A52D89" w:rsidR="3D02C6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item não apresenta qualquer tipo de alteração ou danos em sua área</w:t>
      </w:r>
      <w:r w:rsidRPr="50A52D89" w:rsidR="3BE975A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50A52D89" w:rsidR="3D02C6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A52D89" w:rsidR="26CBE9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50A52D89" w:rsidR="3D02C6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aspereza da textura é ideia, </w:t>
      </w:r>
      <w:r w:rsidRPr="50A52D89" w:rsidR="092C63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feita de tal maneira a qual </w:t>
      </w:r>
      <w:r w:rsidRPr="50A52D89" w:rsidR="3D02C6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não </w:t>
      </w:r>
      <w:r w:rsidRPr="50A52D89" w:rsidR="57A686F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ocasion</w:t>
      </w:r>
      <w:r w:rsidRPr="50A52D89" w:rsidR="3DDA140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</w:t>
      </w:r>
      <w:r w:rsidRPr="50A52D89" w:rsidR="3D02C6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desconforto</w:t>
      </w:r>
      <w:r w:rsidRPr="50A52D89" w:rsidR="769080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0A52D89" w:rsidR="475670D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ferimentos ao tatear, as cores </w:t>
      </w:r>
      <w:r w:rsidRPr="50A52D89" w:rsidR="553D3D4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ao longo da peça estão uniformemente espalhadas, não apresentando qualquer di</w:t>
      </w:r>
      <w:r w:rsidRPr="50A52D89" w:rsidR="361A4C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ferença </w:t>
      </w:r>
      <w:r w:rsidRPr="50A52D89" w:rsidR="553D3D4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 coloração. </w:t>
      </w:r>
      <w:r>
        <w:tab/>
      </w:r>
      <w:r>
        <w:tab/>
      </w:r>
      <w:r w:rsidRPr="50A52D89" w:rsidR="553D3D4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Todos</w:t>
      </w:r>
      <w:r w:rsidRPr="50A52D89" w:rsidR="3B045DF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os dados e informações escritas estão gramaticalmente corretas, est</w:t>
      </w:r>
      <w:r w:rsidRPr="50A52D89" w:rsidR="092057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ando</w:t>
      </w:r>
      <w:r w:rsidRPr="50A52D89" w:rsidR="3B045DF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acordo com as legislações </w:t>
      </w:r>
      <w:r w:rsidRPr="50A52D89" w:rsidR="3C8631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alimentícias apresentando todas as informações do produto como necessário em seu rotulo.</w:t>
      </w: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006B1007">
        <w:rPr/>
        <w:t xml:space="preserve"> </w:t>
      </w:r>
      <w:bookmarkStart w:name="_Toc995258565" w:id="1642749284"/>
      <w:r w:rsidR="00353E6F">
        <w:rPr/>
        <w:t>Evidências</w:t>
      </w:r>
      <w:bookmarkEnd w:id="1642749284"/>
      <w:r w:rsidR="00353E6F">
        <w:rPr/>
        <w:t xml:space="preserve"> </w:t>
      </w:r>
    </w:p>
    <w:p w:rsidR="1A968EAC" w:rsidP="50A52D89" w:rsidRDefault="1A968EAC" w14:paraId="106B5EC8" w14:textId="096301D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50A52D89" w:rsidR="1A968EA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Imagem 3 </w:t>
      </w:r>
      <w:r w:rsidRPr="50A52D89" w:rsidR="1A968EAC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– Embalagem do energético.</w:t>
      </w:r>
    </w:p>
    <w:p w:rsidR="1A968EAC" w:rsidP="50A52D89" w:rsidRDefault="1A968EAC" w14:paraId="59298A2B" w14:textId="41B0B69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="1A968EAC">
        <w:drawing>
          <wp:inline wp14:editId="6AB4C540" wp14:anchorId="761AAD08">
            <wp:extent cx="2068111" cy="3456104"/>
            <wp:effectExtent l="0" t="0" r="0" b="0"/>
            <wp:docPr id="64597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8729a355e4d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68111" cy="345610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68EAC" w:rsidP="50A52D89" w:rsidRDefault="1A968EAC" w14:paraId="60A7A773" w14:textId="5FEE40B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50A52D89" w:rsidR="1A968EA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Fonte: própria, 2024.</w:t>
      </w:r>
    </w:p>
    <w:p w:rsidR="50A52D89" w:rsidP="50A52D89" w:rsidRDefault="50A52D89" w14:paraId="5892EAE4" w14:textId="711883B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50A52D89" w:rsidP="50A52D89" w:rsidRDefault="50A52D89" w14:paraId="28CC6832" w14:textId="612A499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50A52D89" w:rsidP="50A52D89" w:rsidRDefault="50A52D89" w14:paraId="7E7E500E" w14:textId="0298907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50A52D89" w:rsidP="50A52D89" w:rsidRDefault="50A52D89" w14:paraId="3F2291EF" w14:textId="628C4BD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1A968EAC" w:rsidP="50A52D89" w:rsidRDefault="1A968EAC" w14:paraId="591A5E20" w14:textId="41F7F82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0A52D89" w:rsidR="1A968EA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Imagem 4 </w:t>
      </w:r>
      <w:r w:rsidRPr="50A52D89" w:rsidR="1A968EA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– Embalagem do energético em duas posições.</w:t>
      </w:r>
    </w:p>
    <w:p w:rsidR="1A968EAC" w:rsidP="50A52D89" w:rsidRDefault="1A968EAC" w14:paraId="26FB90E5" w14:textId="77276E3B">
      <w:pPr>
        <w:pStyle w:val="Normal"/>
        <w:suppressLineNumbers w:val="0"/>
        <w:bidi w:val="0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="1A968EAC">
        <w:drawing>
          <wp:inline wp14:editId="02668DD1" wp14:anchorId="05F19DA6">
            <wp:extent cx="1224211" cy="2458295"/>
            <wp:effectExtent l="0" t="0" r="0" b="0"/>
            <wp:docPr id="1907897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4d2112a9d4d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24211" cy="24582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1A968EAC">
        <w:drawing>
          <wp:inline wp14:editId="0652C7FA" wp14:anchorId="39E6CF59">
            <wp:extent cx="1359206" cy="2452480"/>
            <wp:effectExtent l="0" t="0" r="0" b="0"/>
            <wp:docPr id="1857912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97b642ff74b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59206" cy="24524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68EAC" w:rsidP="50A52D89" w:rsidRDefault="1A968EAC" w14:paraId="34437998" w14:textId="5FEE40B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50A52D89" w:rsidR="1A968EA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Fonte: própria, 2024.</w:t>
      </w:r>
    </w:p>
    <w:p w:rsidR="50A52D89" w:rsidP="50A52D89" w:rsidRDefault="50A52D89" w14:paraId="27162943" w14:textId="42B0B6B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50A52D89" w:rsidP="50A52D89" w:rsidRDefault="50A52D89" w14:paraId="1CB17720" w14:textId="60EC5999">
      <w:pPr>
        <w:pStyle w:val="Normal"/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2024916804" w:id="1092925361"/>
      <w:r w:rsidR="00353E6F">
        <w:rPr/>
        <w:t>Onde encontrar</w:t>
      </w:r>
      <w:bookmarkEnd w:id="1092925361"/>
    </w:p>
    <w:p w:rsidRPr="00117BBE" w:rsidR="0005157A" w:rsidP="50A52D89" w:rsidRDefault="0005157A" w14:paraId="3CFD68F8" w14:textId="6ECA962F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50A52D89" w:rsidR="3EABB2F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produto pode ser encontrado na grande maioria dos mercados brasileiros, sendo comumente encontrado com mais facilidade em lojas focadas em </w:t>
      </w:r>
      <w:r w:rsidRPr="50A52D89" w:rsidR="3EABB2F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distribuição</w:t>
      </w:r>
      <w:r w:rsidRPr="50A52D89" w:rsidR="3EABB2F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venda de bebidas.</w:t>
      </w:r>
    </w:p>
    <w:p w:rsidR="50A52D89" w:rsidP="50A52D89" w:rsidRDefault="50A52D89" w14:paraId="392B9957" w14:textId="6A30F99E">
      <w:pPr>
        <w:spacing w:line="360" w:lineRule="auto"/>
        <w:ind w:firstLine="708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1444206559" w:id="995029849"/>
      <w:r w:rsidR="005B045C">
        <w:rPr/>
        <w:t>CONCLUSÃO</w:t>
      </w:r>
      <w:bookmarkEnd w:id="995029849"/>
    </w:p>
    <w:p w:rsidR="4141DDC2" w:rsidP="50A52D89" w:rsidRDefault="4141DDC2" w14:paraId="05DAD272" w14:textId="72BDECC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0A52D89" w:rsidR="4141DDC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trabalho teve como objetivo estimular a visão crítica e analítica focada a objetos cotidianos, estando em virtud</w:t>
      </w:r>
      <w:r w:rsidRPr="50A52D89" w:rsidR="45F6C2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com as práticas comuns e essenciais na área de gestão de qualidade. Ao analisar a embalagem de </w:t>
      </w:r>
      <w:r w:rsidRPr="50A52D89" w:rsidR="40F435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energético</w:t>
      </w:r>
      <w:r w:rsidRPr="50A52D89" w:rsidR="45F6C2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pode-se criar </w:t>
      </w:r>
      <w:r w:rsidRPr="50A52D89" w:rsidR="02776C6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fortalecer o senso crítico/analítico, ampliando a visão sobre todos os aspectos em torno de objetos,</w:t>
      </w:r>
      <w:r w:rsidRPr="50A52D89" w:rsidR="4995C75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serviços e softwares.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1804207629" w:id="1431149067"/>
      <w:r w:rsidR="006B1007">
        <w:rPr/>
        <w:t>REFERÊNCIAS BIBLIOGRÁFICAS</w:t>
      </w:r>
      <w:bookmarkEnd w:id="1431149067"/>
      <w:r w:rsidR="006B1007">
        <w:rPr/>
        <w:t xml:space="preserve"> </w:t>
      </w:r>
    </w:p>
    <w:p w:rsidRPr="00117BBE" w:rsidR="005B045C" w:rsidP="50A52D89" w:rsidRDefault="00DE1CF8" w14:paraId="2E7A80E7" w14:textId="173F21A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411c69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99983"/>
    <w:rsid w:val="004B692B"/>
    <w:rsid w:val="004E77D7"/>
    <w:rsid w:val="00550481"/>
    <w:rsid w:val="0056F456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12A3D46"/>
    <w:rsid w:val="014C8B3E"/>
    <w:rsid w:val="02776C6E"/>
    <w:rsid w:val="031336AD"/>
    <w:rsid w:val="042E8203"/>
    <w:rsid w:val="047400D9"/>
    <w:rsid w:val="04B80D1D"/>
    <w:rsid w:val="05072DC8"/>
    <w:rsid w:val="05239EED"/>
    <w:rsid w:val="05C443D0"/>
    <w:rsid w:val="05E24C80"/>
    <w:rsid w:val="06494F75"/>
    <w:rsid w:val="06A738C0"/>
    <w:rsid w:val="0777DC30"/>
    <w:rsid w:val="07D7DF27"/>
    <w:rsid w:val="0821FF40"/>
    <w:rsid w:val="083AD2E3"/>
    <w:rsid w:val="0841A9C1"/>
    <w:rsid w:val="08476F2C"/>
    <w:rsid w:val="08C081E7"/>
    <w:rsid w:val="091D2FE5"/>
    <w:rsid w:val="09205756"/>
    <w:rsid w:val="092C631A"/>
    <w:rsid w:val="09C65772"/>
    <w:rsid w:val="0A2A1DCB"/>
    <w:rsid w:val="0AAED4FA"/>
    <w:rsid w:val="0BA128E6"/>
    <w:rsid w:val="0BD5C6E7"/>
    <w:rsid w:val="0E3DFAED"/>
    <w:rsid w:val="0E845D03"/>
    <w:rsid w:val="0E86518B"/>
    <w:rsid w:val="0E9BD827"/>
    <w:rsid w:val="0E9EB6F0"/>
    <w:rsid w:val="0ECD14CD"/>
    <w:rsid w:val="0EDEDE6A"/>
    <w:rsid w:val="0EED1BB5"/>
    <w:rsid w:val="0F0CE625"/>
    <w:rsid w:val="0F0D4FC7"/>
    <w:rsid w:val="101B0D5A"/>
    <w:rsid w:val="10AFA541"/>
    <w:rsid w:val="10F18E76"/>
    <w:rsid w:val="10F4E695"/>
    <w:rsid w:val="11119D00"/>
    <w:rsid w:val="111766F7"/>
    <w:rsid w:val="11A07192"/>
    <w:rsid w:val="11FCE43D"/>
    <w:rsid w:val="12A00099"/>
    <w:rsid w:val="12B024B7"/>
    <w:rsid w:val="12F2EB8B"/>
    <w:rsid w:val="13195CD0"/>
    <w:rsid w:val="13607F64"/>
    <w:rsid w:val="151CECAE"/>
    <w:rsid w:val="155A22D2"/>
    <w:rsid w:val="15A59FFC"/>
    <w:rsid w:val="1822817B"/>
    <w:rsid w:val="18A053EA"/>
    <w:rsid w:val="19675F55"/>
    <w:rsid w:val="197F764F"/>
    <w:rsid w:val="19C9A993"/>
    <w:rsid w:val="1A0065D2"/>
    <w:rsid w:val="1A77DEB5"/>
    <w:rsid w:val="1A968EAC"/>
    <w:rsid w:val="1A98B4C1"/>
    <w:rsid w:val="1AB79488"/>
    <w:rsid w:val="1B15B98C"/>
    <w:rsid w:val="1BB4A83E"/>
    <w:rsid w:val="1BF95B87"/>
    <w:rsid w:val="1C959708"/>
    <w:rsid w:val="1D3C6239"/>
    <w:rsid w:val="1E530ADB"/>
    <w:rsid w:val="1E81F7BB"/>
    <w:rsid w:val="1E950C3E"/>
    <w:rsid w:val="1EE05378"/>
    <w:rsid w:val="21BEF177"/>
    <w:rsid w:val="21FAFD75"/>
    <w:rsid w:val="2323D75C"/>
    <w:rsid w:val="2356D192"/>
    <w:rsid w:val="23810E92"/>
    <w:rsid w:val="25898A43"/>
    <w:rsid w:val="25E5AC12"/>
    <w:rsid w:val="264CA022"/>
    <w:rsid w:val="269DCC0F"/>
    <w:rsid w:val="26A231E1"/>
    <w:rsid w:val="26CBE9FC"/>
    <w:rsid w:val="26E440E4"/>
    <w:rsid w:val="26EE599C"/>
    <w:rsid w:val="27D0818B"/>
    <w:rsid w:val="27F23FB4"/>
    <w:rsid w:val="282D36AB"/>
    <w:rsid w:val="2871B2CD"/>
    <w:rsid w:val="28D740AD"/>
    <w:rsid w:val="290BC3FB"/>
    <w:rsid w:val="297CC151"/>
    <w:rsid w:val="2A99A4EE"/>
    <w:rsid w:val="2AB57DDB"/>
    <w:rsid w:val="2BAA23C1"/>
    <w:rsid w:val="2C0F0225"/>
    <w:rsid w:val="2C136424"/>
    <w:rsid w:val="2CE6D4EF"/>
    <w:rsid w:val="2D2D7A2C"/>
    <w:rsid w:val="2D6CC5AA"/>
    <w:rsid w:val="2E1E9FFC"/>
    <w:rsid w:val="2E7E79F6"/>
    <w:rsid w:val="2E7E79F6"/>
    <w:rsid w:val="2E9834EB"/>
    <w:rsid w:val="2EC02447"/>
    <w:rsid w:val="2FFE80B4"/>
    <w:rsid w:val="307764D0"/>
    <w:rsid w:val="30891106"/>
    <w:rsid w:val="32E4348D"/>
    <w:rsid w:val="3357399B"/>
    <w:rsid w:val="33B236E8"/>
    <w:rsid w:val="34507AA4"/>
    <w:rsid w:val="34A44A1A"/>
    <w:rsid w:val="34D6D01F"/>
    <w:rsid w:val="34F62495"/>
    <w:rsid w:val="361A4CDF"/>
    <w:rsid w:val="36716224"/>
    <w:rsid w:val="367A7ECB"/>
    <w:rsid w:val="36AC9C55"/>
    <w:rsid w:val="3746C786"/>
    <w:rsid w:val="389E246C"/>
    <w:rsid w:val="3900B586"/>
    <w:rsid w:val="39541A0D"/>
    <w:rsid w:val="39647826"/>
    <w:rsid w:val="39DDD515"/>
    <w:rsid w:val="3AD8B4BA"/>
    <w:rsid w:val="3B045DF2"/>
    <w:rsid w:val="3BE363A7"/>
    <w:rsid w:val="3BE975A1"/>
    <w:rsid w:val="3C204582"/>
    <w:rsid w:val="3C37C401"/>
    <w:rsid w:val="3C863120"/>
    <w:rsid w:val="3CD746B6"/>
    <w:rsid w:val="3CFA8368"/>
    <w:rsid w:val="3D02C66A"/>
    <w:rsid w:val="3D29F522"/>
    <w:rsid w:val="3DDA1407"/>
    <w:rsid w:val="3E0E0CCE"/>
    <w:rsid w:val="3EABB2FA"/>
    <w:rsid w:val="3EABB919"/>
    <w:rsid w:val="3ED89B13"/>
    <w:rsid w:val="409F1A83"/>
    <w:rsid w:val="40CE3CF3"/>
    <w:rsid w:val="40F4350E"/>
    <w:rsid w:val="41181D13"/>
    <w:rsid w:val="4141DDC2"/>
    <w:rsid w:val="41FEAA43"/>
    <w:rsid w:val="4245A189"/>
    <w:rsid w:val="427EDC88"/>
    <w:rsid w:val="4294B0F5"/>
    <w:rsid w:val="42DCE7AF"/>
    <w:rsid w:val="42F10D85"/>
    <w:rsid w:val="4445AF37"/>
    <w:rsid w:val="4455A27D"/>
    <w:rsid w:val="44DA59EA"/>
    <w:rsid w:val="4506807D"/>
    <w:rsid w:val="45F6C27E"/>
    <w:rsid w:val="46D921A1"/>
    <w:rsid w:val="474093F2"/>
    <w:rsid w:val="47450825"/>
    <w:rsid w:val="475670DA"/>
    <w:rsid w:val="485BEDBB"/>
    <w:rsid w:val="486C9B9F"/>
    <w:rsid w:val="487EF21D"/>
    <w:rsid w:val="48E06840"/>
    <w:rsid w:val="490D2E92"/>
    <w:rsid w:val="4995C750"/>
    <w:rsid w:val="4A398EE1"/>
    <w:rsid w:val="4A60BC26"/>
    <w:rsid w:val="4A8876DA"/>
    <w:rsid w:val="4A977D80"/>
    <w:rsid w:val="4B41A422"/>
    <w:rsid w:val="4B500CBC"/>
    <w:rsid w:val="4B6DF6CE"/>
    <w:rsid w:val="4C641A2C"/>
    <w:rsid w:val="4C7361BF"/>
    <w:rsid w:val="4CCCBA11"/>
    <w:rsid w:val="4EA789F8"/>
    <w:rsid w:val="5058DF03"/>
    <w:rsid w:val="50A52D89"/>
    <w:rsid w:val="518B8A22"/>
    <w:rsid w:val="51D6FD13"/>
    <w:rsid w:val="521B853B"/>
    <w:rsid w:val="52CF4079"/>
    <w:rsid w:val="52ECD864"/>
    <w:rsid w:val="5312891C"/>
    <w:rsid w:val="53C22312"/>
    <w:rsid w:val="5404CCE0"/>
    <w:rsid w:val="545252A7"/>
    <w:rsid w:val="54EB5BBC"/>
    <w:rsid w:val="553D3D4D"/>
    <w:rsid w:val="55B2E2A9"/>
    <w:rsid w:val="55FDAF89"/>
    <w:rsid w:val="56780CDA"/>
    <w:rsid w:val="56A35E86"/>
    <w:rsid w:val="56BA5E9D"/>
    <w:rsid w:val="572064F9"/>
    <w:rsid w:val="576266C0"/>
    <w:rsid w:val="57A686FF"/>
    <w:rsid w:val="57B6A0E7"/>
    <w:rsid w:val="58DA24AA"/>
    <w:rsid w:val="59914370"/>
    <w:rsid w:val="59A382FE"/>
    <w:rsid w:val="59A60681"/>
    <w:rsid w:val="59C8BEF2"/>
    <w:rsid w:val="5A818B1E"/>
    <w:rsid w:val="5B717368"/>
    <w:rsid w:val="5B83058A"/>
    <w:rsid w:val="5C1FCAA2"/>
    <w:rsid w:val="5D72CA67"/>
    <w:rsid w:val="5E5BF5E4"/>
    <w:rsid w:val="5EE004EC"/>
    <w:rsid w:val="5F3A27D4"/>
    <w:rsid w:val="5FD64529"/>
    <w:rsid w:val="60BD5D95"/>
    <w:rsid w:val="60F6CD9B"/>
    <w:rsid w:val="62DC3B60"/>
    <w:rsid w:val="637BFE03"/>
    <w:rsid w:val="63B39A78"/>
    <w:rsid w:val="6437EFEA"/>
    <w:rsid w:val="646D471D"/>
    <w:rsid w:val="647C4FD3"/>
    <w:rsid w:val="65DAB5D2"/>
    <w:rsid w:val="65E44500"/>
    <w:rsid w:val="66EF1A1D"/>
    <w:rsid w:val="687134F7"/>
    <w:rsid w:val="6927B07A"/>
    <w:rsid w:val="69A74141"/>
    <w:rsid w:val="69CF13CD"/>
    <w:rsid w:val="6A113914"/>
    <w:rsid w:val="6A843AC7"/>
    <w:rsid w:val="6AB9AA42"/>
    <w:rsid w:val="6ADADD2F"/>
    <w:rsid w:val="6B069F9C"/>
    <w:rsid w:val="6B105F36"/>
    <w:rsid w:val="6B1EDB08"/>
    <w:rsid w:val="6B3CBCD4"/>
    <w:rsid w:val="6B3CBCD4"/>
    <w:rsid w:val="6B49F070"/>
    <w:rsid w:val="6B511119"/>
    <w:rsid w:val="6B5EE491"/>
    <w:rsid w:val="6B841205"/>
    <w:rsid w:val="6C3D24FC"/>
    <w:rsid w:val="6D7EAD56"/>
    <w:rsid w:val="6DE10728"/>
    <w:rsid w:val="70CFE22B"/>
    <w:rsid w:val="7117F901"/>
    <w:rsid w:val="71F10568"/>
    <w:rsid w:val="724367E3"/>
    <w:rsid w:val="73A6CBC1"/>
    <w:rsid w:val="74582194"/>
    <w:rsid w:val="745DB2B2"/>
    <w:rsid w:val="75FF31F3"/>
    <w:rsid w:val="769080DA"/>
    <w:rsid w:val="7703252D"/>
    <w:rsid w:val="774FFFBC"/>
    <w:rsid w:val="7800E14B"/>
    <w:rsid w:val="785BA3FC"/>
    <w:rsid w:val="78E7E45F"/>
    <w:rsid w:val="78FFA565"/>
    <w:rsid w:val="79F8279A"/>
    <w:rsid w:val="7A6CBB41"/>
    <w:rsid w:val="7A845B84"/>
    <w:rsid w:val="7AD1E8EE"/>
    <w:rsid w:val="7BC73BAD"/>
    <w:rsid w:val="7BCE2D52"/>
    <w:rsid w:val="7C58A544"/>
    <w:rsid w:val="7C96B28C"/>
    <w:rsid w:val="7CF11527"/>
    <w:rsid w:val="7D98D214"/>
    <w:rsid w:val="7DA78995"/>
    <w:rsid w:val="7EC9ADD5"/>
    <w:rsid w:val="7F14CB1A"/>
    <w:rsid w:val="7FCDACFF"/>
    <w:rsid w:val="7FCDACFF"/>
    <w:rsid w:val="7FE8F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ab7b2f7a4f1640d9" /><Relationship Type="http://schemas.openxmlformats.org/officeDocument/2006/relationships/image" Target="/media/image2.jpg" Id="Rfa8b9860f71248b6" /><Relationship Type="http://schemas.openxmlformats.org/officeDocument/2006/relationships/image" Target="/media/image3.jpg" Id="R6f7b031fc19c4c30" /><Relationship Type="http://schemas.openxmlformats.org/officeDocument/2006/relationships/image" Target="/media/image4.jpg" Id="R3808729a355e4d9b" /><Relationship Type="http://schemas.openxmlformats.org/officeDocument/2006/relationships/image" Target="/media/image5.jpg" Id="Re044d2112a9d4d90" /><Relationship Type="http://schemas.openxmlformats.org/officeDocument/2006/relationships/image" Target="/media/image6.jpg" Id="R2ca97b642ff74b6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EDUARDO SOARES</lastModifiedBy>
  <revision>9</revision>
  <lastPrinted>2020-11-09T21:26:00.0000000Z</lastPrinted>
  <dcterms:created xsi:type="dcterms:W3CDTF">2021-05-30T20:28:00.0000000Z</dcterms:created>
  <dcterms:modified xsi:type="dcterms:W3CDTF">2024-12-03T23:26:13.9307825Z</dcterms:modified>
</coreProperties>
</file>