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Opening campaigns use milestone advancement (see Advancement in Opening Campaigns below). Experience points and the Character Advancement table remain available when your Director opts into XP tracking: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r>
        <w:t>### Advancement in Opening Campaigns</w:t>
      </w:r>
    </w:p>
    <w:p>
      <w:r>
        <w:t>For Opening campaigns (Tier 1–5 play through a Decennial Opening), milestone advancement is the official method: the Director awards a level when the Expedition hits a Gate seal, completes a major arc beat, or reaches another announced milestone. Tell the table which milestones grant levels before the Opening begins.</w:t>
      </w:r>
    </w:p>
    <w:p>
      <w:r>
        <w:t>The Character Advancement table remains canon for total character level, proficiency bonus, and for tables that opt into XP tracking. This book does not publish creature or encounter XP awards. Any companion Session CR→XP helper is optional and non-canon — it never replaces Director milestones for Opening campaigns and does not write XP to your character sheet automatically.</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t xml:space="preserve"/>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When a hero has two or more Weave-casting classes, maximum RP equals the full pool of the highest caster-tier class, using that class's level, plus 25% of one secondary Weave caster's maximum pool, rounded up. Tertiary and later Weave-casting classes add no further RP. Apply Arcane Guilds reputation to the merged total once. For example, a Wizard 10 / Cleric 6 has the Wizard's 10th-level pool plus ceil(25% of the Cleric's 6th-level pool), then applies the Arcane Guilds modifier once. Oracle is not a Weave RP caster. An Oracle uses Revelation Charges (RC) for Mystery Revelations and never contributes an RP pool to this calculation.</w:t>
      </w:r>
      <w:r w:rsidRPr="003147C4">
        <w:rPr>
          <w:color w:val="0A1D30" w:themeColor="text2" w:themeShade="BF"/>
          <w:spacing w:val="5"/>
          <w:sz w:val="20"/>
          <w:szCs w:val="20"/>
        </w:rPr>
        <w:t xml:space="preserve"/>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 Wizard, Mage, Cleric, and Druid tables above are rulebook-complete. Other Weave-casting classes use draft companion RP pool estimates (clearly labeled Draft in the companion) until author tables are published — treat those numbers as playtest material, not final law.*</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 Until a final Burnout consequences table is published, Burnout effects are Director fiat: announce the consequence before it applies (the Director's Crucible suggests disadvantage on Weave-related checks until the end of the caster's next turn as a default playtest ruling). Companion Session Burnout badges are optional reminders, not automated rules.</w:t>
      </w:r>
    </w:p>
    <w:p>
      <w:r>
        <w:t>Class ceiling caps (action-economy limits for high-impact features such as extra mutations, Revelations, or smite riders) are draft playtest guardrails published for Directors. They are GM fiat until promoted: if your table uses them, the Director announces the relevant cap; companion callouts are informational only and do not auto-enforce.</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great wheel, with the Material Plane at its center and other planes arranged around it in concentric rings. This Great Wheel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Blood War the oldest open war among the Lower Planes: the ordered legions of Asmodeus's Nine Hells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Blood War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of the Nine Hells** serve Asmodeus's law of hierarchy, contracts, and the corruption of souls through temptation and consequence</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of the Abyss**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Blood War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