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eastAsia="Arial"/>
          <w:b/>
          <w:i w:val="0"/>
          <w:color w:val="245C42"/>
          <w:sz w:val="18"/>
        </w:rPr>
        <w:t>PRODUCT DESIGN HANDOFF  /  SEPTEMBER 2026</w:t>
      </w:r>
    </w:p>
    <w:p>
      <w:pPr>
        <w:pStyle w:val="Title"/>
      </w:pPr>
      <w:r>
        <w:t>Open Outdoor Visual Design and Layout Guide</w:t>
      </w:r>
    </w:p>
    <w:p>
      <w:pPr>
        <w:spacing w:after="160"/>
      </w:pPr>
      <w:r>
        <w:rPr>
          <w:rFonts w:ascii="Arial" w:hAnsi="Arial" w:eastAsia="Arial"/>
          <w:b w:val="0"/>
          <w:i w:val="0"/>
          <w:color w:val="000000"/>
          <w:sz w:val="28"/>
        </w:rPr>
        <w:t>A map-led interface for time outside</w:t>
      </w:r>
    </w:p>
    <w:p>
      <w:pPr>
        <w:spacing w:after="140"/>
      </w:pPr>
      <w:r>
        <w:t>Open Outdoor places trail discovery and hike recording around a clear map. This guide records the visual direction, screen order, component rules, and field-ready behavior so the app stays coherent as it grows.</w:t>
      </w:r>
    </w:p>
    <w:p>
      <w:pPr>
        <w:spacing w:after="60"/>
      </w:pPr>
      <w:r>
        <w:rPr>
          <w:rFonts w:ascii="Arial" w:hAnsi="Arial" w:eastAsia="Arial"/>
          <w:b/>
          <w:i w:val="0"/>
          <w:color w:val="000000"/>
          <w:sz w:val="24"/>
        </w:rPr>
        <w:t>Design intent</w:t>
      </w:r>
    </w:p>
    <w:p>
      <w:pPr>
        <w:spacing w:after="160"/>
      </w:pPr>
      <w:r>
        <w:t>Help people read the terrain, understand what each source can confirm, and reach the next useful action with one hand. The interface should feel calm, considered, and useful outdoors.</w:t>
      </w:r>
    </w:p>
    <w:p>
      <w:pPr>
        <w:spacing w:after="40"/>
        <w:jc w:val="center"/>
      </w:pPr>
      <w:r>
        <w:drawing>
          <wp:inline xmlns:a="http://schemas.openxmlformats.org/drawingml/2006/main" xmlns:pic="http://schemas.openxmlformats.org/drawingml/2006/picture">
            <wp:extent cx="6309360" cy="5915025"/>
            <wp:docPr id="11" name="Picture 11"/>
            <wp:cNvGraphicFramePr>
              <a:graphicFrameLocks noChangeAspect="1"/>
            </wp:cNvGraphicFramePr>
            <a:graphic>
              <a:graphicData uri="http://schemas.openxmlformats.org/drawingml/2006/picture">
                <pic:pic>
                  <pic:nvPicPr>
                    <pic:cNvPr id="0" name="app-desktop-current.png"/>
                    <pic:cNvPicPr/>
                  </pic:nvPicPr>
                  <pic:blipFill>
                    <a:blip r:embed="rId22"/>
                    <a:stretch>
                      <a:fillRect/>
                    </a:stretch>
                  </pic:blipFill>
                  <pic:spPr>
                    <a:xfrm>
                      <a:off x="0" y="0"/>
                      <a:ext cx="6309360" cy="5915025"/>
                    </a:xfrm>
                    <a:prstGeom prst="rect"/>
                  </pic:spPr>
                </pic:pic>
              </a:graphicData>
            </a:graphic>
          </wp:inline>
        </w:drawing>
      </w:r>
    </w:p>
    <w:p>
      <w:pPr>
        <w:spacing w:after="40"/>
        <w:jc w:val="center"/>
      </w:pPr>
      <w:r>
        <w:rPr>
          <w:rFonts w:ascii="Arial" w:hAnsi="Arial" w:eastAsia="Arial"/>
          <w:b w:val="0"/>
          <w:i/>
          <w:color w:val="50665B"/>
          <w:sz w:val="17"/>
        </w:rPr>
        <w:t>Desktop 1024 px browser viewport. Map geometry and place names are synthetic examples.</w:t>
      </w:r>
    </w:p>
    <w:p>
      <w:pPr>
        <w:pStyle w:val="Heading1"/>
        <w:keepNext/>
        <w:pageBreakBefore/>
      </w:pPr>
      <w:r>
        <w:t>Visual language and tokens</w:t>
      </w:r>
    </w:p>
    <w:p>
      <w:pPr>
        <w:spacing w:after="160"/>
      </w:pPr>
      <w:r>
        <w:t>Warm linen and deep forest green establish a quiet field-guide palette. A restrained sage and ochre support selection and status, while the map carries most of the color and visual interest. Direct labels and useful place evidence keep the interface grounded.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181"/>
        <w:gridCol w:w="3816"/>
        <w:gridCol w:w="4968"/>
      </w:tblGrid>
      <w:tr>
        <w:trPr>
          <w:tblHeader w:val="true"/>
        </w:trPr>
        <w:tc>
          <w:tcPr>
            <w:tcW w:type="dxa" w:w="1181"/>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Sample</w:t>
            </w:r>
          </w:p>
        </w:tc>
        <w:tc>
          <w:tcPr>
            <w:tcW w:type="dxa" w:w="3816"/>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Color</w:t>
            </w:r>
          </w:p>
        </w:tc>
        <w:tc>
          <w:tcPr>
            <w:tcW w:type="dxa" w:w="4968"/>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Use</w:t>
            </w:r>
          </w:p>
        </w:tc>
      </w:tr>
      <w:tr>
        <w:tc>
          <w:tcPr>
            <w:tcW w:type="dxa" w:w="1181"/>
            <w:shd w:fill="F5F4EC"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Warm linen  #F5F4EC</w:t>
            </w:r>
          </w:p>
        </w:tc>
        <w:tc>
          <w:tcPr>
            <w:tcW w:type="dxa" w:w="4968"/>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Main app canvas</w:t>
            </w:r>
          </w:p>
        </w:tc>
      </w:tr>
      <w:tr>
        <w:tc>
          <w:tcPr>
            <w:tcW w:type="dxa" w:w="1181"/>
            <w:shd w:fill="FFFFFF"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Surface  #FFFFFF</w:t>
            </w:r>
          </w:p>
        </w:tc>
        <w:tc>
          <w:tcPr>
            <w:tcW w:type="dxa" w:w="4968"/>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Cards and content panels</w:t>
            </w:r>
          </w:p>
        </w:tc>
      </w:tr>
      <w:tr>
        <w:tc>
          <w:tcPr>
            <w:tcW w:type="dxa" w:w="1181"/>
            <w:shd w:fill="183C2F"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Deep forest  #183C2F</w:t>
            </w:r>
          </w:p>
        </w:tc>
        <w:tc>
          <w:tcPr>
            <w:tcW w:type="dxa" w:w="4968"/>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Headings and primary text</w:t>
            </w:r>
          </w:p>
        </w:tc>
      </w:tr>
      <w:tr>
        <w:tc>
          <w:tcPr>
            <w:tcW w:type="dxa" w:w="1181"/>
            <w:shd w:fill="245C42"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Forest  #245C42</w:t>
            </w:r>
          </w:p>
        </w:tc>
        <w:tc>
          <w:tcPr>
            <w:tcW w:type="dxa" w:w="4968"/>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Primary actions and selected navigation</w:t>
            </w:r>
          </w:p>
        </w:tc>
      </w:tr>
      <w:tr>
        <w:tc>
          <w:tcPr>
            <w:tcW w:type="dxa" w:w="1181"/>
            <w:shd w:fill="E2EDDF"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Pale sage  #E2EDDF</w:t>
            </w:r>
          </w:p>
        </w:tc>
        <w:tc>
          <w:tcPr>
            <w:tcW w:type="dxa" w:w="4968"/>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Selected and quiet emphasis surfaces</w:t>
            </w:r>
          </w:p>
        </w:tc>
      </w:tr>
      <w:tr>
        <w:tc>
          <w:tcPr>
            <w:tcW w:type="dxa" w:w="1181"/>
            <w:shd w:fill="50665B"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Muted green  #50665B</w:t>
            </w:r>
          </w:p>
        </w:tc>
        <w:tc>
          <w:tcPr>
            <w:tcW w:type="dxa" w:w="4968"/>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Supporting text</w:t>
            </w:r>
          </w:p>
        </w:tc>
      </w:tr>
      <w:tr>
        <w:tc>
          <w:tcPr>
            <w:tcW w:type="dxa" w:w="1181"/>
            <w:shd w:fill="718478"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Edge  #718478</w:t>
            </w:r>
          </w:p>
        </w:tc>
        <w:tc>
          <w:tcPr>
            <w:tcW w:type="dxa" w:w="4968"/>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Control and card borders</w:t>
            </w:r>
          </w:p>
        </w:tc>
      </w:tr>
      <w:tr>
        <w:tc>
          <w:tcPr>
            <w:tcW w:type="dxa" w:w="1181"/>
            <w:shd w:fill="DCE5CC"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Land / water  #DCE5CC / #B7D7E5</w:t>
            </w:r>
          </w:p>
        </w:tc>
        <w:tc>
          <w:tcPr>
            <w:tcW w:type="dxa" w:w="4968"/>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Quiet map base tones</w:t>
            </w:r>
          </w:p>
        </w:tc>
      </w:tr>
      <w:tr>
        <w:tc>
          <w:tcPr>
            <w:tcW w:type="dxa" w:w="1181"/>
            <w:shd w:fill="943562"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Route / location  #943562 / #164FBC</w:t>
            </w:r>
          </w:p>
        </w:tc>
        <w:tc>
          <w:tcPr>
            <w:tcW w:type="dxa" w:w="4968"/>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Selected route / user position</w:t>
            </w:r>
          </w:p>
        </w:tc>
      </w:tr>
      <w:tr>
        <w:tc>
          <w:tcPr>
            <w:tcW w:type="dxa" w:w="1181"/>
            <w:shd w:fill="79520B"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Caution  #79520B</w:t>
            </w:r>
          </w:p>
        </w:tc>
        <w:tc>
          <w:tcPr>
            <w:tcW w:type="dxa" w:w="4968"/>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Warnings with a clear label and icon</w:t>
            </w:r>
          </w:p>
        </w:tc>
      </w:tr>
      <w:tr>
        <w:tc>
          <w:tcPr>
            <w:tcW w:type="dxa" w:w="1181"/>
            <w:shd w:fill="9D292C"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Danger  #9D292C</w:t>
            </w:r>
          </w:p>
        </w:tc>
        <w:tc>
          <w:tcPr>
            <w:tcW w:type="dxa" w:w="4968"/>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Errors and destructive actions</w:t>
            </w:r>
          </w:p>
        </w:tc>
      </w:tr>
      <w:tr>
        <w:tc>
          <w:tcPr>
            <w:tcW w:type="dxa" w:w="1181"/>
            <w:shd w:fill="256044"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Success  #256044</w:t>
            </w:r>
          </w:p>
        </w:tc>
        <w:tc>
          <w:tcPr>
            <w:tcW w:type="dxa" w:w="4968"/>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Completed and positive states</w:t>
            </w:r>
          </w:p>
        </w:tc>
      </w:tr>
      <w:tr>
        <w:tc>
          <w:tcPr>
            <w:tcW w:type="dxa" w:w="1181"/>
            <w:shd w:fill="8645A0" w:val="clear"/>
            <w:vAlign w:val="center"/>
            <w:tcMar>
              <w:top w:w="100" w:type="dxa"/>
              <w:start w:w="110" w:type="dxa"/>
              <w:bottom w:w="100" w:type="dxa"/>
              <w:end w:w="110" w:type="dxa"/>
            </w:tcMar>
          </w:tcPr>
          <w:p>
            <w:pPr>
              <w:spacing w:after="0" w:line="252" w:lineRule="auto"/>
            </w:pPr>
            <w:r/>
            <w:r>
              <w:rPr>
                <w:rFonts w:ascii="Arial" w:hAnsi="Arial" w:eastAsia="Arial"/>
                <w:b w:val="0"/>
                <w:i w:val="0"/>
                <w:color w:val="000000"/>
                <w:sz w:val="18"/>
              </w:rPr>
            </w:r>
          </w:p>
        </w:tc>
        <w:tc>
          <w:tcPr>
            <w:tcW w:type="dxa" w:w="3816"/>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Focus  #8645A0</w:t>
            </w:r>
          </w:p>
        </w:tc>
        <w:tc>
          <w:tcPr>
            <w:tcW w:type="dxa" w:w="4968"/>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Keyboard and control focus</w:t>
            </w:r>
          </w:p>
        </w:tc>
      </w:tr>
    </w:tbl>
    <w:p>
      <w:pPr>
        <w:pStyle w:val="Heading2"/>
        <w:keepNext/>
      </w:pPr>
      <w:r>
        <w:t>Appearance</w:t>
      </w:r>
    </w:p>
    <w:p>
      <w:pPr>
        <w:spacing w:after="100"/>
      </w:pPr>
      <w:r>
        <w:t>System appearance is the starting point, with explicit overrides available in secondary controls.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72"/>
        <w:gridCol w:w="2880"/>
        <w:gridCol w:w="5213"/>
      </w:tblGrid>
      <w:tr>
        <w:trPr>
          <w:tblHeader w:val="true"/>
        </w:trPr>
        <w:tc>
          <w:tcPr>
            <w:tcW w:type="dxa" w:w="1872"/>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Mode</w:t>
            </w:r>
          </w:p>
        </w:tc>
        <w:tc>
          <w:tcPr>
            <w:tcW w:type="dxa" w:w="2880"/>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Canvas / accent</w:t>
            </w:r>
          </w:p>
        </w:tc>
        <w:tc>
          <w:tcPr>
            <w:tcW w:type="dxa" w:w="5213"/>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Treatment</w:t>
            </w:r>
          </w:p>
        </w:tc>
      </w:tr>
      <w:tr>
        <w:tc>
          <w:tcPr>
            <w:tcW w:type="dxa" w:w="1872"/>
            <w:vAlign w:val="center"/>
            <w:tcMar>
              <w:top w:w="100" w:type="dxa"/>
              <w:start w:w="110" w:type="dxa"/>
              <w:bottom w:w="100" w:type="dxa"/>
              <w:end w:w="110" w:type="dxa"/>
            </w:tcMar>
            <w:shd w:fill="FFFFFF" w:val="clear"/>
          </w:tcPr>
          <w:p>
            <w:pPr>
              <w:spacing w:after="0" w:line="252" w:lineRule="auto"/>
            </w:pPr>
            <w:r/>
            <w:r>
              <w:rPr>
                <w:rFonts w:ascii="Arial" w:hAnsi="Arial" w:eastAsia="Arial"/>
                <w:b/>
                <w:i w:val="0"/>
                <w:color w:val="000000"/>
                <w:sz w:val="19"/>
              </w:rPr>
              <w:t>Light</w:t>
            </w:r>
          </w:p>
        </w:tc>
        <w:tc>
          <w:tcPr>
            <w:tcW w:type="dxa" w:w="2880"/>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#F5F4EC / #245C42</w:t>
            </w:r>
          </w:p>
        </w:tc>
        <w:tc>
          <w:tcPr>
            <w:tcW w:type="dxa" w:w="5213"/>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Linen canvas and forest controls</w:t>
            </w:r>
          </w:p>
        </w:tc>
      </w:tr>
      <w:tr>
        <w:tc>
          <w:tcPr>
            <w:tcW w:type="dxa" w:w="1872"/>
            <w:vAlign w:val="center"/>
            <w:tcMar>
              <w:top w:w="100" w:type="dxa"/>
              <w:start w:w="110" w:type="dxa"/>
              <w:bottom w:w="100" w:type="dxa"/>
              <w:end w:w="110" w:type="dxa"/>
            </w:tcMar>
            <w:shd w:fill="F3F6F1" w:val="clear"/>
          </w:tcPr>
          <w:p>
            <w:pPr>
              <w:spacing w:after="0" w:line="252" w:lineRule="auto"/>
            </w:pPr>
            <w:r/>
            <w:r>
              <w:rPr>
                <w:rFonts w:ascii="Arial" w:hAnsi="Arial" w:eastAsia="Arial"/>
                <w:b/>
                <w:i w:val="0"/>
                <w:color w:val="000000"/>
                <w:sz w:val="19"/>
              </w:rPr>
              <w:t>Dark</w:t>
            </w:r>
          </w:p>
        </w:tc>
        <w:tc>
          <w:tcPr>
            <w:tcW w:type="dxa" w:w="2880"/>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#101E18 / #B7D99D</w:t>
            </w:r>
          </w:p>
        </w:tc>
        <w:tc>
          <w:tcPr>
            <w:tcW w:type="dxa" w:w="5213"/>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Evergreen canvas and light sage controls</w:t>
            </w:r>
          </w:p>
        </w:tc>
      </w:tr>
      <w:tr>
        <w:tc>
          <w:tcPr>
            <w:tcW w:type="dxa" w:w="1872"/>
            <w:vAlign w:val="center"/>
            <w:tcMar>
              <w:top w:w="100" w:type="dxa"/>
              <w:start w:w="110" w:type="dxa"/>
              <w:bottom w:w="100" w:type="dxa"/>
              <w:end w:w="110" w:type="dxa"/>
            </w:tcMar>
            <w:shd w:fill="FFFFFF" w:val="clear"/>
          </w:tcPr>
          <w:p>
            <w:pPr>
              <w:spacing w:after="0" w:line="252" w:lineRule="auto"/>
            </w:pPr>
            <w:r/>
            <w:r>
              <w:rPr>
                <w:rFonts w:ascii="Arial" w:hAnsi="Arial" w:eastAsia="Arial"/>
                <w:b/>
                <w:i w:val="0"/>
                <w:color w:val="000000"/>
                <w:sz w:val="19"/>
              </w:rPr>
              <w:t>High contrast</w:t>
            </w:r>
          </w:p>
        </w:tc>
        <w:tc>
          <w:tcPr>
            <w:tcW w:type="dxa" w:w="2880"/>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#000000 / #A5EAFF</w:t>
            </w:r>
          </w:p>
        </w:tc>
        <w:tc>
          <w:tcPr>
            <w:tcW w:type="dxa" w:w="5213"/>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Black canvas and bright cyan action</w:t>
            </w:r>
          </w:p>
        </w:tc>
      </w:tr>
    </w:tbl>
    <w:p>
      <w:pPr>
        <w:pStyle w:val="Heading2"/>
        <w:keepNext/>
      </w:pPr>
      <w:r>
        <w:t>Type and shape</w:t>
      </w:r>
    </w:p>
    <w:p>
      <w:pPr>
        <w:spacing w:after="0"/>
      </w:pPr>
      <w:r>
        <w:t>A moderate serif gives section headings a warm editorial voice; body copy and controls use the platform typeface for familiar reading. Shared sizes are 14 px caption, 17 px body, 23 px title, and 34 px display. The browser reference uses task-specific 30 to 36 px serif headings. Spacing steps are 4, 8, 12, 16, 24, and 32 px. Controls use 14 px corners, native cards 22 px corners, and interactive targets at least 52 pt; the browser reference uses quieter card outlines and flatter surfaces.</w:t>
      </w:r>
    </w:p>
    <w:p>
      <w:pPr>
        <w:pStyle w:val="Heading1"/>
        <w:keepNext/>
        <w:pageBreakBefore/>
      </w:pPr>
      <w:r>
        <w:t>Screen structure</w:t>
      </w:r>
    </w:p>
    <w:p>
      <w:pPr>
        <w:spacing w:after="140"/>
      </w:pPr>
      <w:r>
        <w:t>On phones, Explore, Search, Track, and Saved sit in a dedicated navigation row below the independently scrolling content. Safe-area padding keeps actions clear of device edges. Appearance choices stay secondary.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69"/>
        <w:gridCol w:w="3485"/>
        <w:gridCol w:w="5011"/>
      </w:tblGrid>
      <w:tr>
        <w:trPr>
          <w:tblHeader w:val="true"/>
        </w:trPr>
        <w:tc>
          <w:tcPr>
            <w:tcW w:type="dxa" w:w="1469"/>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Section</w:t>
            </w:r>
          </w:p>
        </w:tc>
        <w:tc>
          <w:tcPr>
            <w:tcW w:type="dxa" w:w="3485"/>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Opens with</w:t>
            </w:r>
          </w:p>
        </w:tc>
        <w:tc>
          <w:tcPr>
            <w:tcW w:type="dxa" w:w="5011"/>
            <w:vAlign w:val="center"/>
            <w:tcMar>
              <w:top w:w="100" w:type="dxa"/>
              <w:start w:w="110" w:type="dxa"/>
              <w:bottom w:w="100" w:type="dxa"/>
              <w:end w:w="110" w:type="dxa"/>
            </w:tcMar>
            <w:shd w:fill="245C42" w:val="clear"/>
          </w:tcPr>
          <w:p>
            <w:pPr>
              <w:spacing w:after="0" w:line="252" w:lineRule="auto"/>
            </w:pPr>
            <w:r>
              <w:rPr>
                <w:rFonts w:ascii="Arial" w:hAnsi="Arial" w:eastAsia="Arial"/>
                <w:b/>
                <w:i w:val="0"/>
                <w:color w:val="FFFFFF"/>
                <w:sz w:val="19"/>
              </w:rPr>
            </w:r>
            <w:r>
              <w:rPr>
                <w:rFonts w:ascii="Arial" w:hAnsi="Arial" w:eastAsia="Arial"/>
                <w:b/>
                <w:i w:val="0"/>
                <w:color w:val="FFFFFF"/>
                <w:sz w:val="19"/>
              </w:rPr>
              <w:t>Main task</w:t>
            </w:r>
          </w:p>
        </w:tc>
      </w:tr>
      <w:tr>
        <w:tc>
          <w:tcPr>
            <w:tcW w:type="dxa" w:w="1469"/>
            <w:vAlign w:val="center"/>
            <w:tcMar>
              <w:top w:w="100" w:type="dxa"/>
              <w:start w:w="110" w:type="dxa"/>
              <w:bottom w:w="100" w:type="dxa"/>
              <w:end w:w="110" w:type="dxa"/>
            </w:tcMar>
            <w:shd w:fill="FFFFFF" w:val="clear"/>
          </w:tcPr>
          <w:p>
            <w:pPr>
              <w:spacing w:after="0" w:line="252" w:lineRule="auto"/>
            </w:pPr>
            <w:r/>
            <w:r>
              <w:rPr>
                <w:rFonts w:ascii="Arial" w:hAnsi="Arial" w:eastAsia="Arial"/>
                <w:b/>
                <w:i w:val="0"/>
                <w:color w:val="000000"/>
                <w:sz w:val="19"/>
              </w:rPr>
              <w:t>Explore</w:t>
            </w:r>
          </w:p>
        </w:tc>
        <w:tc>
          <w:tcPr>
            <w:tcW w:type="dxa" w:w="3485"/>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A short invitation and the map</w:t>
            </w:r>
          </w:p>
        </w:tc>
        <w:tc>
          <w:tcPr>
            <w:tcW w:type="dxa" w:w="5011"/>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Find a place, read the legend, and open its details</w:t>
            </w:r>
          </w:p>
        </w:tc>
      </w:tr>
      <w:tr>
        <w:tc>
          <w:tcPr>
            <w:tcW w:type="dxa" w:w="1469"/>
            <w:vAlign w:val="center"/>
            <w:tcMar>
              <w:top w:w="100" w:type="dxa"/>
              <w:start w:w="110" w:type="dxa"/>
              <w:bottom w:w="100" w:type="dxa"/>
              <w:end w:w="110" w:type="dxa"/>
            </w:tcMar>
            <w:shd w:fill="F3F6F1" w:val="clear"/>
          </w:tcPr>
          <w:p>
            <w:pPr>
              <w:spacing w:after="0" w:line="252" w:lineRule="auto"/>
            </w:pPr>
            <w:r/>
            <w:r>
              <w:rPr>
                <w:rFonts w:ascii="Arial" w:hAnsi="Arial" w:eastAsia="Arial"/>
                <w:b/>
                <w:i w:val="0"/>
                <w:color w:val="000000"/>
                <w:sz w:val="19"/>
              </w:rPr>
              <w:t>Search</w:t>
            </w:r>
          </w:p>
        </w:tc>
        <w:tc>
          <w:tcPr>
            <w:tcW w:type="dxa" w:w="3485"/>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A query and filters in map context</w:t>
            </w:r>
          </w:p>
        </w:tc>
        <w:tc>
          <w:tcPr>
            <w:tcW w:type="dxa" w:w="5011"/>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Narrow results and inspect a selected result</w:t>
            </w:r>
          </w:p>
        </w:tc>
      </w:tr>
      <w:tr>
        <w:tc>
          <w:tcPr>
            <w:tcW w:type="dxa" w:w="1469"/>
            <w:vAlign w:val="center"/>
            <w:tcMar>
              <w:top w:w="100" w:type="dxa"/>
              <w:start w:w="110" w:type="dxa"/>
              <w:bottom w:w="100" w:type="dxa"/>
              <w:end w:w="110" w:type="dxa"/>
            </w:tcMar>
            <w:shd w:fill="FFFFFF" w:val="clear"/>
          </w:tcPr>
          <w:p>
            <w:pPr>
              <w:spacing w:after="0" w:line="252" w:lineRule="auto"/>
            </w:pPr>
            <w:r/>
            <w:r>
              <w:rPr>
                <w:rFonts w:ascii="Arial" w:hAnsi="Arial" w:eastAsia="Arial"/>
                <w:b/>
                <w:i w:val="0"/>
                <w:color w:val="000000"/>
                <w:sz w:val="19"/>
              </w:rPr>
              <w:t>Track</w:t>
            </w:r>
          </w:p>
        </w:tc>
        <w:tc>
          <w:tcPr>
            <w:tcW w:type="dxa" w:w="3485"/>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Recording status and glanceable metrics</w:t>
            </w:r>
          </w:p>
        </w:tc>
        <w:tc>
          <w:tcPr>
            <w:tcW w:type="dxa" w:w="5011"/>
            <w:vAlign w:val="center"/>
            <w:tcMar>
              <w:top w:w="100" w:type="dxa"/>
              <w:start w:w="110" w:type="dxa"/>
              <w:bottom w:w="100" w:type="dxa"/>
              <w:end w:w="110" w:type="dxa"/>
            </w:tcMar>
            <w:shd w:fill="FFFFFF" w:val="clear"/>
          </w:tcPr>
          <w:p>
            <w:pPr>
              <w:spacing w:after="0" w:line="252" w:lineRule="auto"/>
            </w:pPr>
            <w:r/>
            <w:r>
              <w:rPr>
                <w:rFonts w:ascii="Arial" w:hAnsi="Arial" w:eastAsia="Arial"/>
                <w:b w:val="0"/>
                <w:i w:val="0"/>
                <w:color w:val="000000"/>
                <w:sz w:val="19"/>
              </w:rPr>
              <w:t>Start, pause, resume, finish, save, or recover</w:t>
            </w:r>
          </w:p>
        </w:tc>
      </w:tr>
      <w:tr>
        <w:tc>
          <w:tcPr>
            <w:tcW w:type="dxa" w:w="1469"/>
            <w:vAlign w:val="center"/>
            <w:tcMar>
              <w:top w:w="100" w:type="dxa"/>
              <w:start w:w="110" w:type="dxa"/>
              <w:bottom w:w="100" w:type="dxa"/>
              <w:end w:w="110" w:type="dxa"/>
            </w:tcMar>
            <w:shd w:fill="F3F6F1" w:val="clear"/>
          </w:tcPr>
          <w:p>
            <w:pPr>
              <w:spacing w:after="0" w:line="252" w:lineRule="auto"/>
            </w:pPr>
            <w:r/>
            <w:r>
              <w:rPr>
                <w:rFonts w:ascii="Arial" w:hAnsi="Arial" w:eastAsia="Arial"/>
                <w:b/>
                <w:i w:val="0"/>
                <w:color w:val="000000"/>
                <w:sz w:val="19"/>
              </w:rPr>
              <w:t>Saved</w:t>
            </w:r>
          </w:p>
        </w:tc>
        <w:tc>
          <w:tcPr>
            <w:tcW w:type="dxa" w:w="3485"/>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A private library of places and outings</w:t>
            </w:r>
          </w:p>
        </w:tc>
        <w:tc>
          <w:tcPr>
            <w:tcW w:type="dxa" w:w="5011"/>
            <w:vAlign w:val="center"/>
            <w:tcMar>
              <w:top w:w="100" w:type="dxa"/>
              <w:start w:w="110" w:type="dxa"/>
              <w:bottom w:w="100" w:type="dxa"/>
              <w:end w:w="110" w:type="dxa"/>
            </w:tcMar>
            <w:shd w:fill="F3F6F1" w:val="clear"/>
          </w:tcPr>
          <w:p>
            <w:pPr>
              <w:spacing w:after="0" w:line="252" w:lineRule="auto"/>
            </w:pPr>
            <w:r/>
            <w:r>
              <w:rPr>
                <w:rFonts w:ascii="Arial" w:hAnsi="Arial" w:eastAsia="Arial"/>
                <w:b w:val="0"/>
                <w:i w:val="0"/>
                <w:color w:val="000000"/>
                <w:sz w:val="19"/>
              </w:rPr>
              <w:t>Return to saved routes and recorded activities</w:t>
            </w:r>
          </w:p>
        </w:tc>
      </w:tr>
    </w:tbl>
    <w:p>
      <w:pPr>
        <w:pStyle w:val="Heading2"/>
        <w:keepNext/>
      </w:pPr>
      <w:r>
        <w:t>Explore reading order</w:t>
      </w:r>
    </w:p>
    <w:p>
      <w:pPr>
        <w:spacing w:after="120"/>
      </w:pPr>
      <w:r>
        <w:t>Explore opens with a short invitation, then map and land/camping legend, selected-place context, and the Track action. Place evidence keeps source, origin, coverage, freshness, restrictions, and uncertainty together. On desktop, the map and selected-place panel sit side by side.</w:t>
      </w:r>
    </w:p>
    <w:p>
      <w:pPr>
        <w:pStyle w:val="Heading1"/>
        <w:pageBreakBefore/>
        <w:spacing w:before="240" w:after="100"/>
      </w:pPr>
      <w:r>
        <w:t>Mobile screen gallery</w:t>
      </w:r>
    </w:p>
    <w:p>
      <w:pPr>
        <w:spacing w:after="160"/>
      </w:pPr>
      <w:r>
        <w:t>Updated September 2026 to show the full phone experience across Explore, Search, Track, and Saved. The previews use synthetic place names and map geometry.</w:t>
      </w:r>
    </w:p>
    <w:tbl>
      <w:tblPr>
        <w:tblStyle w:val="TableGrid"/>
        <w:tblW w:type="auto" w:w="0"/>
        <w:tblLayout w:type="fixed"/>
        <w:tblLook w:firstColumn="1" w:firstRow="1" w:lastColumn="0" w:lastRow="0" w:noHBand="0" w:noVBand="1" w:val="04A0"/>
        <w:tblBorders>
          <w:top w:val="single" w:sz="5" w:space="0" w:color="D9E0D8"/>
          <w:left w:val="single" w:sz="5" w:space="0" w:color="D9E0D8"/>
          <w:bottom w:val="single" w:sz="5" w:space="0" w:color="D9E0D8"/>
          <w:right w:val="single" w:sz="5" w:space="0" w:color="D9E0D8"/>
          <w:insideH w:val="single" w:sz="5" w:space="0" w:color="D9E0D8"/>
          <w:insideV w:val="single" w:sz="5" w:space="0" w:color="D9E0D8"/>
        </w:tblBorders>
      </w:tblPr>
      <w:tblGrid>
        <w:gridCol w:w="4968"/>
        <w:gridCol w:w="4968"/>
      </w:tblGrid>
      <w:tr>
        <w:trPr>
          <w:cantSplit/>
        </w:trPr>
        <w:tc>
          <w:tcPr>
            <w:tcW w:type="dxa" w:w="4968"/>
            <w:vAlign w:val="center"/>
            <w:tcMar>
              <w:top w:w="110" w:type="dxa"/>
              <w:start w:w="140" w:type="dxa"/>
              <w:bottom w:w="110" w:type="dxa"/>
              <w:end w:w="140" w:type="dxa"/>
            </w:tcMar>
            <w:shd w:fill="FFFFFF"/>
          </w:tcPr>
          <w:p>
            <w:pPr>
              <w:spacing w:before="20" w:after="100"/>
              <w:jc w:val="center"/>
            </w:pPr>
            <w:r>
              <w:rPr>
                <w:rFonts w:ascii="Aptos" w:hAnsi="Aptos"/>
                <w:b/>
                <w:color w:val="183C2F"/>
                <w:sz w:val="21"/>
              </w:rPr>
              <w:t>Explore</w:t>
            </w:r>
          </w:p>
          <w:p>
            <w:pPr>
              <w:spacing w:after="80"/>
              <w:jc w:val="center"/>
            </w:pPr>
            <w:r>
              <w:drawing>
                <wp:inline xmlns:a="http://schemas.openxmlformats.org/drawingml/2006/main" xmlns:pic="http://schemas.openxmlformats.org/drawingml/2006/picture">
                  <wp:extent cx="1938528" cy="4195173"/>
                  <wp:docPr id="12" name="Picture 12"/>
                  <wp:cNvGraphicFramePr>
                    <a:graphicFrameLocks noChangeAspect="1"/>
                  </wp:cNvGraphicFramePr>
                  <a:graphic>
                    <a:graphicData uri="http://schemas.openxmlformats.org/drawingml/2006/picture">
                      <pic:pic>
                        <pic:nvPicPr>
                          <pic:cNvPr id="0" name="app-explore-mobile-current.png"/>
                          <pic:cNvPicPr/>
                        </pic:nvPicPr>
                        <pic:blipFill>
                          <a:blip r:embed="rId23"/>
                          <a:stretch>
                            <a:fillRect/>
                          </a:stretch>
                        </pic:blipFill>
                        <pic:spPr>
                          <a:xfrm>
                            <a:off x="0" y="0"/>
                            <a:ext cx="1938528" cy="4195173"/>
                          </a:xfrm>
                          <a:prstGeom prst="rect"/>
                        </pic:spPr>
                      </pic:pic>
                    </a:graphicData>
                  </a:graphic>
                </wp:inline>
              </w:drawing>
            </w:r>
          </w:p>
          <w:p>
            <w:pPr>
              <w:spacing w:before="40" w:after="20" w:line="240" w:lineRule="auto"/>
              <w:jc w:val="center"/>
            </w:pPr>
            <w:r>
              <w:t>Map-led discovery, an easy-to-read legend, and selected-place context.</w:t>
            </w:r>
          </w:p>
        </w:tc>
        <w:tc>
          <w:tcPr>
            <w:tcW w:type="dxa" w:w="4968"/>
            <w:vAlign w:val="center"/>
            <w:tcMar>
              <w:top w:w="110" w:type="dxa"/>
              <w:start w:w="140" w:type="dxa"/>
              <w:bottom w:w="110" w:type="dxa"/>
              <w:end w:w="140" w:type="dxa"/>
            </w:tcMar>
            <w:shd w:fill="FFFFFF"/>
          </w:tcPr>
          <w:p>
            <w:pPr>
              <w:spacing w:before="20" w:after="100"/>
              <w:jc w:val="center"/>
            </w:pPr>
            <w:r>
              <w:rPr>
                <w:rFonts w:ascii="Aptos" w:hAnsi="Aptos"/>
                <w:b/>
                <w:color w:val="183C2F"/>
                <w:sz w:val="21"/>
              </w:rPr>
              <w:t>Search</w:t>
            </w:r>
          </w:p>
          <w:p>
            <w:pPr>
              <w:spacing w:after="80"/>
              <w:jc w:val="center"/>
            </w:pPr>
            <w:r>
              <w:drawing>
                <wp:inline xmlns:a="http://schemas.openxmlformats.org/drawingml/2006/main" xmlns:pic="http://schemas.openxmlformats.org/drawingml/2006/picture">
                  <wp:extent cx="1938528" cy="4195173"/>
                  <wp:docPr id="13" name="Picture 13"/>
                  <wp:cNvGraphicFramePr>
                    <a:graphicFrameLocks noChangeAspect="1"/>
                  </wp:cNvGraphicFramePr>
                  <a:graphic>
                    <a:graphicData uri="http://schemas.openxmlformats.org/drawingml/2006/picture">
                      <pic:pic>
                        <pic:nvPicPr>
                          <pic:cNvPr id="0" name="app-search-mobile-current.png"/>
                          <pic:cNvPicPr/>
                        </pic:nvPicPr>
                        <pic:blipFill>
                          <a:blip r:embed="rId24"/>
                          <a:stretch>
                            <a:fillRect/>
                          </a:stretch>
                        </pic:blipFill>
                        <pic:spPr>
                          <a:xfrm>
                            <a:off x="0" y="0"/>
                            <a:ext cx="1938528" cy="4195173"/>
                          </a:xfrm>
                          <a:prstGeom prst="rect"/>
                        </pic:spPr>
                      </pic:pic>
                    </a:graphicData>
                  </a:graphic>
                </wp:inline>
              </w:drawing>
            </w:r>
          </w:p>
          <w:p>
            <w:pPr>
              <w:spacing w:before="40" w:after="20" w:line="240" w:lineRule="auto"/>
              <w:jc w:val="center"/>
            </w:pPr>
            <w:r>
              <w:t>Offline filters and clearly labeled place rows make results easy to scan.</w:t>
            </w:r>
          </w:p>
        </w:tc>
      </w:tr>
    </w:tbl>
    <w:p>
      <w:pPr>
        <w:pStyle w:val="Heading1"/>
        <w:pageBreakBefore/>
        <w:spacing w:after="160"/>
      </w:pPr>
      <w:r>
        <w:t>Track and Saved</w:t>
      </w:r>
    </w:p>
    <w:tbl>
      <w:tblPr>
        <w:tblStyle w:val="TableGrid"/>
        <w:tblW w:type="auto" w:w="0"/>
        <w:tblLayout w:type="fixed"/>
        <w:tblLook w:firstColumn="1" w:firstRow="1" w:lastColumn="0" w:lastRow="0" w:noHBand="0" w:noVBand="1" w:val="04A0"/>
        <w:tblBorders>
          <w:top w:val="single" w:sz="5" w:space="0" w:color="D9E0D8"/>
          <w:left w:val="single" w:sz="5" w:space="0" w:color="D9E0D8"/>
          <w:bottom w:val="single" w:sz="5" w:space="0" w:color="D9E0D8"/>
          <w:right w:val="single" w:sz="5" w:space="0" w:color="D9E0D8"/>
          <w:insideH w:val="single" w:sz="5" w:space="0" w:color="D9E0D8"/>
          <w:insideV w:val="single" w:sz="5" w:space="0" w:color="D9E0D8"/>
        </w:tblBorders>
      </w:tblPr>
      <w:tblGrid>
        <w:gridCol w:w="4968"/>
        <w:gridCol w:w="4968"/>
      </w:tblGrid>
      <w:tr>
        <w:trPr>
          <w:cantSplit/>
        </w:trPr>
        <w:tc>
          <w:tcPr>
            <w:tcW w:type="dxa" w:w="4968"/>
            <w:vAlign w:val="center"/>
            <w:tcMar>
              <w:top w:w="110" w:type="dxa"/>
              <w:start w:w="140" w:type="dxa"/>
              <w:bottom w:w="110" w:type="dxa"/>
              <w:end w:w="140" w:type="dxa"/>
            </w:tcMar>
            <w:shd w:fill="FFFFFF"/>
          </w:tcPr>
          <w:p>
            <w:pPr>
              <w:spacing w:before="20" w:after="100"/>
              <w:jc w:val="center"/>
            </w:pPr>
            <w:r>
              <w:rPr>
                <w:rFonts w:ascii="Aptos" w:hAnsi="Aptos"/>
                <w:b/>
                <w:color w:val="183C2F"/>
                <w:sz w:val="21"/>
              </w:rPr>
              <w:t>Track</w:t>
            </w:r>
          </w:p>
          <w:p>
            <w:pPr>
              <w:spacing w:after="80"/>
              <w:jc w:val="center"/>
            </w:pPr>
            <w:r>
              <w:drawing>
                <wp:inline xmlns:a="http://schemas.openxmlformats.org/drawingml/2006/main" xmlns:pic="http://schemas.openxmlformats.org/drawingml/2006/picture">
                  <wp:extent cx="1938528" cy="4195173"/>
                  <wp:docPr id="14" name="Picture 14"/>
                  <wp:cNvGraphicFramePr>
                    <a:graphicFrameLocks noChangeAspect="1"/>
                  </wp:cNvGraphicFramePr>
                  <a:graphic>
                    <a:graphicData uri="http://schemas.openxmlformats.org/drawingml/2006/picture">
                      <pic:pic>
                        <pic:nvPicPr>
                          <pic:cNvPr id="0" name="app-track-mobile-current.png"/>
                          <pic:cNvPicPr/>
                        </pic:nvPicPr>
                        <pic:blipFill>
                          <a:blip r:embed="rId25"/>
                          <a:stretch>
                            <a:fillRect/>
                          </a:stretch>
                        </pic:blipFill>
                        <pic:spPr>
                          <a:xfrm>
                            <a:off x="0" y="0"/>
                            <a:ext cx="1938528" cy="4195173"/>
                          </a:xfrm>
                          <a:prstGeom prst="rect"/>
                        </pic:spPr>
                      </pic:pic>
                    </a:graphicData>
                  </a:graphic>
                </wp:inline>
              </w:drawing>
            </w:r>
          </w:p>
          <w:p>
            <w:pPr>
              <w:spacing w:before="40" w:after="20" w:line="240" w:lineRule="auto"/>
              <w:jc w:val="center"/>
            </w:pPr>
            <w:r>
              <w:t>A calm ready state, glanceable metrics, and one clear recording action.</w:t>
            </w:r>
          </w:p>
        </w:tc>
        <w:tc>
          <w:tcPr>
            <w:tcW w:type="dxa" w:w="4968"/>
            <w:vAlign w:val="center"/>
            <w:tcMar>
              <w:top w:w="110" w:type="dxa"/>
              <w:start w:w="140" w:type="dxa"/>
              <w:bottom w:w="110" w:type="dxa"/>
              <w:end w:w="140" w:type="dxa"/>
            </w:tcMar>
            <w:shd w:fill="FFFFFF"/>
          </w:tcPr>
          <w:p>
            <w:pPr>
              <w:spacing w:before="20" w:after="100"/>
              <w:jc w:val="center"/>
            </w:pPr>
            <w:r>
              <w:rPr>
                <w:rFonts w:ascii="Aptos" w:hAnsi="Aptos"/>
                <w:b/>
                <w:color w:val="183C2F"/>
                <w:sz w:val="21"/>
              </w:rPr>
              <w:t>Saved</w:t>
            </w:r>
          </w:p>
          <w:p>
            <w:pPr>
              <w:spacing w:after="80"/>
              <w:jc w:val="center"/>
            </w:pPr>
            <w:r>
              <w:drawing>
                <wp:inline xmlns:a="http://schemas.openxmlformats.org/drawingml/2006/main" xmlns:pic="http://schemas.openxmlformats.org/drawingml/2006/picture">
                  <wp:extent cx="1938528" cy="4195173"/>
                  <wp:docPr id="15" name="Picture 15"/>
                  <wp:cNvGraphicFramePr>
                    <a:graphicFrameLocks noChangeAspect="1"/>
                  </wp:cNvGraphicFramePr>
                  <a:graphic>
                    <a:graphicData uri="http://schemas.openxmlformats.org/drawingml/2006/picture">
                      <pic:pic>
                        <pic:nvPicPr>
                          <pic:cNvPr id="0" name="app-saved-mobile-current.png"/>
                          <pic:cNvPicPr/>
                        </pic:nvPicPr>
                        <pic:blipFill>
                          <a:blip r:embed="rId26"/>
                          <a:stretch>
                            <a:fillRect/>
                          </a:stretch>
                        </pic:blipFill>
                        <pic:spPr>
                          <a:xfrm>
                            <a:off x="0" y="0"/>
                            <a:ext cx="1938528" cy="4195173"/>
                          </a:xfrm>
                          <a:prstGeom prst="rect"/>
                        </pic:spPr>
                      </pic:pic>
                    </a:graphicData>
                  </a:graphic>
                </wp:inline>
              </w:drawing>
            </w:r>
          </w:p>
          <w:p>
            <w:pPr>
              <w:spacing w:before="40" w:after="20" w:line="240" w:lineRule="auto"/>
              <w:jc w:val="center"/>
            </w:pPr>
            <w:r>
              <w:t>A private journal empty state with a direct path back to Explore.</w:t>
            </w:r>
          </w:p>
        </w:tc>
      </w:tr>
    </w:tbl>
    <w:p>
      <w:pPr>
        <w:pStyle w:val="Heading1"/>
        <w:keepNext/>
        <w:pageBreakBefore/>
      </w:pPr>
      <w:r>
        <w:t>Field clarity and trust</w:t>
      </w:r>
    </w:p>
    <w:p>
      <w:pPr>
        <w:pStyle w:val="Heading2"/>
        <w:keepNext/>
      </w:pPr>
      <w:r>
        <w:t>Keep status readable</w:t>
      </w:r>
    </w:p>
    <w:p>
      <w:pPr>
        <w:pStyle w:val="ListBullet"/>
        <w:spacing w:after="80"/>
        <w:ind w:left="317" w:hanging="230"/>
      </w:pPr>
      <w:r>
        <w:rPr>
          <w:rFonts w:ascii="Arial" w:hAnsi="Arial" w:eastAsia="Arial"/>
          <w:b/>
          <w:i w:val="0"/>
          <w:color w:val="000000"/>
          <w:sz w:val="21"/>
        </w:rPr>
        <w:t xml:space="preserve">Pair color with words and marks. </w:t>
      </w:r>
      <w:r>
        <w:rPr>
          <w:rFonts w:ascii="Arial" w:hAnsi="Arial" w:eastAsia="Arial"/>
          <w:b w:val="0"/>
          <w:i w:val="0"/>
          <w:color w:val="000000"/>
          <w:sz w:val="21"/>
        </w:rPr>
        <w:t>Closures, offline sources, stale information, GPS and battery warnings, recording, and recovery states need a label and a recognizable icon or shape.</w:t>
      </w:r>
    </w:p>
    <w:p>
      <w:pPr>
        <w:pStyle w:val="ListBullet"/>
        <w:spacing w:after="80"/>
        <w:ind w:left="317" w:hanging="230"/>
      </w:pPr>
      <w:r>
        <w:rPr>
          <w:rFonts w:ascii="Arial" w:hAnsi="Arial" w:eastAsia="Arial"/>
          <w:b/>
          <w:i w:val="0"/>
          <w:color w:val="000000"/>
          <w:sz w:val="21"/>
        </w:rPr>
        <w:t xml:space="preserve">State what is known. </w:t>
      </w:r>
      <w:r>
        <w:rPr>
          <w:rFonts w:ascii="Arial" w:hAnsi="Arial" w:eastAsia="Arial"/>
          <w:b w:val="0"/>
          <w:i w:val="0"/>
          <w:color w:val="000000"/>
          <w:sz w:val="21"/>
        </w:rPr>
        <w:t>Show source, catalog origin, coverage, freshness, restrictions, and uncertainty. Say when access is unknown; do not imply permission from missing information.</w:t>
      </w:r>
    </w:p>
    <w:p>
      <w:pPr>
        <w:pStyle w:val="ListBullet"/>
        <w:spacing w:after="80"/>
        <w:ind w:left="317" w:hanging="230"/>
      </w:pPr>
      <w:r>
        <w:rPr>
          <w:rFonts w:ascii="Arial" w:hAnsi="Arial" w:eastAsia="Arial"/>
          <w:b/>
          <w:i w:val="0"/>
          <w:color w:val="000000"/>
          <w:sz w:val="21"/>
        </w:rPr>
        <w:t xml:space="preserve">Keep a non-map path. </w:t>
      </w:r>
      <w:r>
        <w:rPr>
          <w:rFonts w:ascii="Arial" w:hAnsi="Arial" w:eastAsia="Arial"/>
          <w:b w:val="0"/>
          <w:i w:val="0"/>
          <w:color w:val="000000"/>
          <w:sz w:val="21"/>
        </w:rPr>
        <w:t>Lists and selected-place details give people another way to reach results and understand a map feature.</w:t>
      </w:r>
    </w:p>
    <w:p>
      <w:pPr>
        <w:pStyle w:val="ListBullet"/>
        <w:spacing w:after="80"/>
        <w:ind w:left="317" w:hanging="230"/>
      </w:pPr>
      <w:r>
        <w:rPr>
          <w:rFonts w:ascii="Arial" w:hAnsi="Arial" w:eastAsia="Arial"/>
          <w:b/>
          <w:i w:val="0"/>
          <w:color w:val="000000"/>
          <w:sz w:val="21"/>
        </w:rPr>
        <w:t xml:space="preserve">Keep map marks distinct. </w:t>
      </w:r>
      <w:r>
        <w:rPr>
          <w:rFonts w:ascii="Arial" w:hAnsi="Arial" w:eastAsia="Arial"/>
          <w:b w:val="0"/>
          <w:i w:val="0"/>
          <w:color w:val="000000"/>
          <w:sz w:val="21"/>
        </w:rPr>
        <w:t>The selected route, active recording, and user location use separate visual treatments. Keep the semantic land and camping legend close to the map.</w:t>
      </w:r>
    </w:p>
    <w:p>
      <w:pPr>
        <w:pStyle w:val="Heading2"/>
        <w:keepNext/>
      </w:pPr>
      <w:r>
        <w:t>One-hand use and readable type</w:t>
      </w:r>
    </w:p>
    <w:p>
      <w:pPr>
        <w:pStyle w:val="ListBullet"/>
        <w:spacing w:after="80"/>
        <w:ind w:left="317" w:hanging="230"/>
      </w:pPr>
      <w:r>
        <w:rPr>
          <w:rFonts w:ascii="Arial" w:hAnsi="Arial" w:eastAsia="Arial"/>
          <w:b/>
          <w:i w:val="0"/>
          <w:color w:val="000000"/>
          <w:sz w:val="21"/>
        </w:rPr>
        <w:t xml:space="preserve">Reachable controls. </w:t>
      </w:r>
      <w:r>
        <w:rPr>
          <w:rFonts w:ascii="Arial" w:hAnsi="Arial" w:eastAsia="Arial"/>
          <w:b w:val="0"/>
          <w:i w:val="0"/>
          <w:color w:val="000000"/>
          <w:sz w:val="21"/>
        </w:rPr>
        <w:t>Interactive targets are 52 pt minimum. Primary recording actions remain clear, with finishing and deletion handled deliberately.</w:t>
      </w:r>
    </w:p>
    <w:p>
      <w:pPr>
        <w:pStyle w:val="ListBullet"/>
        <w:spacing w:after="80"/>
        <w:ind w:left="317" w:hanging="230"/>
      </w:pPr>
      <w:r>
        <w:rPr>
          <w:rFonts w:ascii="Arial" w:hAnsi="Arial" w:eastAsia="Arial"/>
          <w:b/>
          <w:i w:val="0"/>
          <w:color w:val="000000"/>
          <w:sz w:val="21"/>
        </w:rPr>
        <w:t xml:space="preserve">Readable states. </w:t>
      </w:r>
      <w:r>
        <w:rPr>
          <w:rFonts w:ascii="Arial" w:hAnsi="Arial" w:eastAsia="Arial"/>
          <w:b w:val="0"/>
          <w:i w:val="0"/>
          <w:color w:val="000000"/>
          <w:sz w:val="21"/>
        </w:rPr>
        <w:t>Light, dark, and high-contrast appearances share the same hierarchy. Text can scale; focus is visible; reduced motion removes nonessential movement.</w:t>
      </w:r>
    </w:p>
    <w:p>
      <w:pPr>
        <w:pStyle w:val="ListBullet"/>
        <w:spacing w:after="80"/>
        <w:ind w:left="317" w:hanging="230"/>
      </w:pPr>
      <w:r>
        <w:rPr>
          <w:rFonts w:ascii="Arial" w:hAnsi="Arial" w:eastAsia="Arial"/>
          <w:b/>
          <w:i w:val="0"/>
          <w:color w:val="000000"/>
          <w:sz w:val="21"/>
        </w:rPr>
        <w:t xml:space="preserve">Platform fit. </w:t>
      </w:r>
      <w:r>
        <w:rPr>
          <w:rFonts w:ascii="Arial" w:hAnsi="Arial" w:eastAsia="Arial"/>
          <w:b w:val="0"/>
          <w:i w:val="0"/>
          <w:color w:val="000000"/>
          <w:sz w:val="21"/>
        </w:rPr>
        <w:t>The system typeface, familiar control shapes, and persistent section labels keep the interface legible and easy to learn.</w:t>
      </w:r>
    </w:p>
    <w:p>
      <w:pPr>
        <w:pStyle w:val="Heading2"/>
        <w:keepNext/>
      </w:pPr>
      <w:r>
        <w:t>Inspiration and original work</w:t>
      </w:r>
    </w:p>
    <w:p>
      <w:pPr>
        <w:spacing w:after="100"/>
      </w:pPr>
      <w:r>
        <w:t xml:space="preserve">AllTrails informed familiar discovery patterns: search and filters in Explore, route information, and a Saved area for future outings. The app keeps its own palette, map styles, icons, copy, and vector mountain artwork. See </w:t>
      </w:r>
      <w:hyperlink r:id="rId12">
        <w:r>
          <w:rPr>
            <w:color w:val="245C42"/>
            <w:u w:val="single"/>
          </w:rPr>
          <w:t>Understanding the AllTrails App</w:t>
        </w:r>
      </w:hyperlink>
      <w:r>
        <w:t xml:space="preserve"> for the reference app structure.</w:t>
      </w:r>
    </w:p>
    <w:p>
      <w:pPr>
        <w:pStyle w:val="Heading2"/>
        <w:keepNext/>
      </w:pPr>
      <w:r>
        <w:t>Preview and implementation boundary</w:t>
      </w:r>
    </w:p>
    <w:p>
      <w:pPr>
        <w:spacing w:after="80"/>
      </w:pPr>
      <w:r>
        <w:t>The embedded browser screens use synthetic map geometry and place text. They show visual direction only; they do not represent installed field data, current closures, or live conditions. Native map rendering, device behavior, and physical accessibility acceptance remain separate product work.</w:t>
      </w:r>
    </w:p>
    <w:p>
      <w:pPr>
        <w:spacing w:after="0"/>
      </w:pPr>
      <w:r>
        <w:t>Source files: shared tokens and icons in packages/shared/src/design-system.ts; native components in apps/mobile/ProductComponents.tsx; the interactive browser reference in apps/browser-fixture. The detailed product contract remains in docs/PRODUCT_DESIGN_SYSTEM.md.</w:t>
      </w:r>
    </w:p>
    <w:sectPr w:rsidR="00FC693F" w:rsidRPr="0006063C" w:rsidSect="00034616">
      <w:footerReference w:type="default" r:id="rId9"/>
      <w:pgSz w:w="12240" w:h="15840"/>
      <w:pgMar w:top="893" w:right="1123" w:bottom="835"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eastAsia="Arial"/>
        <w:b w:val="0"/>
        <w:i w:val="0"/>
        <w:color w:val="000000"/>
        <w:sz w:val="16"/>
      </w:rPr>
      <w:t xml:space="preserve">OPEN OUTDOOR  |  VISUAL DESIGN  |  23 SEPTEMBER 2026   </w:t>
    </w:r>
    <w:r>
      <w:rPr>
        <w:rFonts w:ascii="Arial" w:hAnsi="Arial" w:eastAsia="Arial"/>
        <w:b w:val="0"/>
        <w:i w:val="0"/>
        <w:color w:val="000000"/>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Arial" w:hAnsi="Arial" w:eastAsia="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support.alltrails.com/hc/en-us/articles/44409942124052-Understanding-the-AllTrails-App"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Outdoor Visual Design and Layout Guide</dc:title>
  <dc:subject>Product visual direction, screen structure, and field-ready interaction</dc:subject>
  <dc:creator>Open Outdoor</dc:creator>
  <cp:keywords>outdoor, maps, visual design, accessibility, product</cp:keywords>
  <dc:description>generated by python-docx</dc:description>
  <cp:lastModifiedBy/>
  <cp:revision>1</cp:revision>
  <dcterms:created xsi:type="dcterms:W3CDTF">2013-12-23T23:15:00Z</dcterms:created>
  <dcterms:modified xsi:type="dcterms:W3CDTF">2013-12-23T23:15:00Z</dcterms:modified>
  <cp:category/>
</cp:coreProperties>
</file>