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Yang Mills Research Chronology</w:t>
      </w:r>
    </w:p>
    <w:p>
      <w:pPr>
        <w:pStyle w:val="Subtitle"/>
      </w:pPr>
      <w:r>
        <w:t>Research record 15 September 2026</w:t>
      </w:r>
    </w:p>
    <w:p>
      <w:r>
        <w:t>The work progressed from scale and geometric ideas to explicit SU2 gauge calculations. The bullets follow that sequence and give the main outcome of each step. Positive finite-system gaps were established; a proof for infinite volume and the continuum remains open.</w:t>
      </w:r>
    </w:p>
    <w:p>
      <w:r>
        <w:t>Quoted SU2 gaps use the chosen electric energy unit and equal electric and magnetic coefficients, unless a different strength is stated. Spring and scalar frequencies are separate quantities.</w:t>
      </w:r>
    </w:p>
    <w:p>
      <w:pPr>
        <w:pStyle w:val="Heading1"/>
      </w:pPr>
      <w:r>
        <w:t>Starting document and scale ideas</w:t>
      </w:r>
    </w:p>
    <w:p>
      <w:pPr>
        <w:pStyle w:val="ListBullet"/>
      </w:pPr>
      <w:r>
        <w:rPr>
          <w:b/>
        </w:rPr>
        <w:t xml:space="preserve">01 Original research document. </w:t>
      </w:r>
      <w:r>
        <w:t>Reviewed Hidden Gaps and Mirror Structure version 0.2, including mirror labels, measurement scales, pressure and finite-system examples.</w:t>
      </w:r>
    </w:p>
    <w:p>
      <w:pPr>
        <w:pStyle w:val="ListBullet"/>
      </w:pPr>
      <w:r>
        <w:rPr>
          <w:b/>
        </w:rPr>
        <w:t xml:space="preserve">02 Signs roots and mirror labels. </w:t>
      </w:r>
      <w:r>
        <w:t>Checked the algebra and mirrored radius descriptions. Relabeling an assumed energy curve supplied no new physical interaction or spectral constraint.</w:t>
      </w:r>
    </w:p>
    <w:p>
      <w:pPr>
        <w:pStyle w:val="ListBullet"/>
      </w:pPr>
      <w:r>
        <w:rPr>
          <w:b/>
        </w:rPr>
        <w:t xml:space="preserve">03 Finite harmonic chains. </w:t>
      </w:r>
      <w:r>
        <w:t>Reproduced the chain calculations. A positive lowest frequency in a finite box could approach zero as the box grew.</w:t>
      </w:r>
    </w:p>
    <w:p>
      <w:pPr>
        <w:pStyle w:val="ListBullet"/>
      </w:pPr>
      <w:r>
        <w:rPr>
          <w:b/>
        </w:rPr>
        <w:t xml:space="preserve">04 Opposing pressure and the bag model. </w:t>
      </w:r>
      <w:r>
        <w:t>Verified the preferred radius from competing inverse-radius and volume energies. Minimizing trial energies did not bound every possible excitation from below.</w:t>
      </w:r>
    </w:p>
    <w:p>
      <w:pPr>
        <w:pStyle w:val="ListBullet"/>
      </w:pPr>
      <w:r>
        <w:rPr>
          <w:b/>
        </w:rPr>
        <w:t xml:space="preserve">05 Stress energy and the trace anomaly. </w:t>
      </w:r>
      <w:r>
        <w:t>Examined the pressure model’s three-quarter and one-quarter energy split and its connection to quantum stress-energy ideas. A quantitative gap estimate remained missing.</w:t>
      </w:r>
    </w:p>
    <w:p>
      <w:pPr>
        <w:pStyle w:val="ListBullet"/>
      </w:pPr>
      <w:r>
        <w:rPr>
          <w:b/>
        </w:rPr>
        <w:t xml:space="preserve">06 Counterexamples to the pressure argument. </w:t>
      </w:r>
      <w:r>
        <w:t>Tested omitted states, spreading wave packets and quantized radial motion. A positive classical minimum did not necessarily guarantee a quantum excitation gap.</w:t>
      </w:r>
    </w:p>
    <w:p>
      <w:pPr>
        <w:pStyle w:val="ListBullet"/>
      </w:pPr>
      <w:r>
        <w:rPr>
          <w:b/>
        </w:rPr>
        <w:t xml:space="preserve">07 First SU2 square calculation. </w:t>
      </w:r>
      <w:r>
        <w:t>Diagonalized one gauge-invariant square and varied the interaction strength. At equal electric and magnetic coefficients, its gap was approximately 3.113863812.</w:t>
      </w:r>
    </w:p>
    <w:p>
      <w:pPr>
        <w:pStyle w:val="ListBullet"/>
      </w:pPr>
      <w:r>
        <w:rPr>
          <w:b/>
        </w:rPr>
        <w:t xml:space="preserve">08 Pi spherical volumes and boundary conditions. </w:t>
      </w:r>
      <w:r>
        <w:t>Compared the square gap with pi using higher precision and rigorous bounds, then substituted pi into coefficients. The original gap was not pi.</w:t>
      </w:r>
    </w:p>
    <w:p>
      <w:pPr>
        <w:pStyle w:val="ListBullet"/>
      </w:pPr>
      <w:r>
        <w:rPr>
          <w:b/>
        </w:rPr>
        <w:t xml:space="preserve">09 Expansion versus shrinking rulers. </w:t>
      </w:r>
      <w:r>
        <w:t>Compared distances with rulers and clocks. Proportional changes could preserve measured ratios; a fixed physical border required additional assumptions.</w:t>
      </w:r>
    </w:p>
    <w:p>
      <w:pPr>
        <w:pStyle w:val="ListBullet"/>
      </w:pPr>
      <w:r>
        <w:rPr>
          <w:b/>
        </w:rPr>
        <w:t xml:space="preserve">10 Logarithmic and golden spirals. </w:t>
      </w:r>
      <w:r>
        <w:t>Combined fractional scaling with rotation and inserted the spiral into the pressure model. The existing minimum survived; coordinate changes preserved the defined spectrum.</w:t>
      </w:r>
    </w:p>
    <w:p>
      <w:pPr>
        <w:pStyle w:val="ListBullet"/>
      </w:pPr>
      <w:r>
        <w:rPr>
          <w:b/>
        </w:rPr>
        <w:t xml:space="preserve">11 Spirals in an expanding universe. </w:t>
      </w:r>
      <w:r>
        <w:t>Calculated spiral behavior in exponential and matter-plus-vacuum-energy backgrounds. Maintaining a golden spiral required a specified relation between expansion and angular motion.</w:t>
      </w:r>
    </w:p>
    <w:p>
      <w:pPr>
        <w:pStyle w:val="Heading1"/>
      </w:pPr>
      <w:r>
        <w:t>Cosmology and dimensional questions</w:t>
      </w:r>
    </w:p>
    <w:p>
      <w:pPr>
        <w:pStyle w:val="ListBullet"/>
      </w:pPr>
      <w:r>
        <w:rPr>
          <w:b/>
        </w:rPr>
        <w:t xml:space="preserve">12 A universe inside a stellar black hole. </w:t>
      </w:r>
      <w:r>
        <w:t>Calculated radii, Hawking temperatures, power and evaporation times under stated assumptions. Stellar Hawking emission did not provide a rapid rebound.</w:t>
      </w:r>
    </w:p>
    <w:p>
      <w:pPr>
        <w:pStyle w:val="ListBullet"/>
      </w:pPr>
      <w:r>
        <w:rPr>
          <w:b/>
        </w:rPr>
        <w:t xml:space="preserve">13 Contraction bounce and expansion. </w:t>
      </w:r>
      <w:r>
        <w:t>Solved a conditional radiation-plus-vacuum-energy bounce model while retaining a logarithmic scale–phase relation. Matching that interior to an evaporating parent remained unresolved.</w:t>
      </w:r>
    </w:p>
    <w:p>
      <w:pPr>
        <w:pStyle w:val="ListBullet"/>
      </w:pPr>
      <w:r>
        <w:rPr>
          <w:b/>
        </w:rPr>
        <w:t xml:space="preserve">14 Connection from cosmology to Yang Mills. </w:t>
      </w:r>
      <w:r>
        <w:t>Examined the implications of the black-hole and expansion scenarios. They did not supply the missing quantum gauge-theory construction or gap estimate.</w:t>
      </w:r>
    </w:p>
    <w:p>
      <w:pPr>
        <w:pStyle w:val="ListBullet"/>
      </w:pPr>
      <w:r>
        <w:rPr>
          <w:b/>
        </w:rPr>
        <w:t xml:space="preserve">15 Lower dimensions. </w:t>
      </w:r>
      <w:r>
        <w:t>Discussed why pure gauge theory in one spatial dimension plus time is simpler. Lower-dimensional results did not establish the required four-dimensional theory.</w:t>
      </w:r>
    </w:p>
    <w:p>
      <w:pPr>
        <w:pStyle w:val="ListBullet"/>
      </w:pPr>
      <w:r>
        <w:rPr>
          <w:b/>
        </w:rPr>
        <w:t xml:space="preserve">16 Stacked planes and the XYZ description. </w:t>
      </w:r>
      <w:r>
        <w:t>Explored assembling a field from infinitely many planes or lines. Counting coordinate directions alone did not define interactions, constraints or excitation energies.</w:t>
      </w:r>
    </w:p>
    <w:p>
      <w:pPr>
        <w:pStyle w:val="ListBullet"/>
      </w:pPr>
      <w:r>
        <w:rPr>
          <w:b/>
        </w:rPr>
        <w:t xml:space="preserve">17 Friction as a possible mechanism. </w:t>
      </w:r>
      <w:r>
        <w:t>Raised friction as a possible resistance to excitation. This remained a conceptual suggestion without a separate verified Yang–Mills calculation.</w:t>
      </w:r>
    </w:p>
    <w:p>
      <w:pPr>
        <w:pStyle w:val="Heading1"/>
      </w:pPr>
      <w:r>
        <w:t>Fibonacci and geometric networks</w:t>
      </w:r>
    </w:p>
    <w:p>
      <w:pPr>
        <w:pStyle w:val="ListBullet"/>
      </w:pPr>
      <w:r>
        <w:rPr>
          <w:b/>
        </w:rPr>
        <w:t xml:space="preserve">18 Fibonacci ratios. </w:t>
      </w:r>
      <w:r>
        <w:t>Generated consecutive Fibonacci ratios and inserted them as gauge-model coefficients. Convergence to the golden ratio reflected the imposed recurrence.</w:t>
      </w:r>
    </w:p>
    <w:p>
      <w:pPr>
        <w:pStyle w:val="ListBullet"/>
      </w:pPr>
      <w:r>
        <w:rPr>
          <w:b/>
        </w:rPr>
        <w:t xml:space="preserve">19 Discrete geometric radii. </w:t>
      </w:r>
      <w:r>
        <w:t>Restricted the pressure model to Fibonacci or geometrically spaced radii. These restrictions could raise a selected minimum without creating a universal quantum bound.</w:t>
      </w:r>
    </w:p>
    <w:p>
      <w:pPr>
        <w:pStyle w:val="ListBullet"/>
      </w:pPr>
      <w:r>
        <w:rPr>
          <w:b/>
        </w:rPr>
        <w:t xml:space="preserve">20 Fibonacci spring chains. </w:t>
      </w:r>
      <w:r>
        <w:t>Placed two spring strengths in Fibonacci order and compared shuffled controls. The first internal frequency fell toward zero as the chain grew.</w:t>
      </w:r>
    </w:p>
    <w:p>
      <w:pPr>
        <w:pStyle w:val="ListBullet"/>
      </w:pPr>
      <w:r>
        <w:rPr>
          <w:b/>
        </w:rPr>
        <w:t xml:space="preserve">21 Geometric constants. </w:t>
      </w:r>
      <w:r>
        <w:t>Tested the golden ratio, silver ratio, pi, square diagonals and equilateral-triangle ratios as imposed scales or couplings. None fixed a universal gap.</w:t>
      </w:r>
    </w:p>
    <w:p>
      <w:pPr>
        <w:pStyle w:val="ListBullet"/>
      </w:pPr>
      <w:r>
        <w:rPr>
          <w:b/>
        </w:rPr>
        <w:t xml:space="preserve">22 Platonic solids and polygon loops. </w:t>
      </w:r>
      <w:r>
        <w:t>Calculated finite graph vibrations for all five Platonic solids and SU2 spectra on single polygon cycles. Connectivity and the operator determined the results.</w:t>
      </w:r>
    </w:p>
    <w:p>
      <w:pPr>
        <w:pStyle w:val="ListBullet"/>
      </w:pPr>
      <w:r>
        <w:rPr>
          <w:b/>
        </w:rPr>
        <w:t xml:space="preserve">23 Square triangular and honeycomb networks. </w:t>
      </w:r>
      <w:r>
        <w:t>Tested growing periodic networks, including a model of overlapping-circle centers. Their lowest nonuniform frequencies decreased with increasing size.</w:t>
      </w:r>
    </w:p>
    <w:p>
      <w:pPr>
        <w:pStyle w:val="ListBullet"/>
      </w:pPr>
      <w:r>
        <w:rPr>
          <w:b/>
        </w:rPr>
        <w:t xml:space="preserve">24 Extracting a gap from a correlation. </w:t>
      </w:r>
      <w:r>
        <w:t>Used an imaginary-time correlation in the single-square gauge model. Its effective decay rate approached the independently calculated square gap.</w:t>
      </w:r>
    </w:p>
    <w:p>
      <w:pPr>
        <w:pStyle w:val="ListBullet"/>
      </w:pPr>
      <w:r>
        <w:rPr>
          <w:b/>
        </w:rPr>
        <w:t xml:space="preserve">25 The torus. </w:t>
      </w:r>
      <w:r>
        <w:t>Compared periodic flat networks with waves on a curved doughnut surface. Aspect ratio changed frequencies; enlarging the same shape lowered them inversely with size.</w:t>
      </w:r>
    </w:p>
    <w:p>
      <w:pPr>
        <w:pStyle w:val="ListBullet"/>
      </w:pPr>
      <w:r>
        <w:rPr>
          <w:b/>
        </w:rPr>
        <w:t xml:space="preserve">26 Vector equilibrium. </w:t>
      </w:r>
      <w:r>
        <w:t>Modeled the cuboctahedron with and without central spokes. Added connections changed scalar frequencies; a separate mechanical test checked actual bar stretching.</w:t>
      </w:r>
    </w:p>
    <w:p>
      <w:pPr>
        <w:pStyle w:val="ListBullet"/>
      </w:pPr>
      <w:r>
        <w:rPr>
          <w:b/>
        </w:rPr>
        <w:t xml:space="preserve">27 Merkaba. </w:t>
      </w:r>
      <w:r>
        <w:t>Tested tetrahedra with disconnected crossings, crossings made into junctions, and added bridges. The contact rule changed connectivity, zero modes and internal frequencies.</w:t>
      </w:r>
    </w:p>
    <w:p>
      <w:pPr>
        <w:pStyle w:val="ListBullet"/>
      </w:pPr>
      <w:r>
        <w:rPr>
          <w:b/>
        </w:rPr>
        <w:t xml:space="preserve">28 Sri Yantra. </w:t>
      </w:r>
      <w:r>
        <w:t>Defined and checked a particular intersecting-triangle graph before calculating its spectrum. The result applied to that construction and its interaction rule.</w:t>
      </w:r>
    </w:p>
    <w:p>
      <w:pPr>
        <w:pStyle w:val="ListBullet"/>
      </w:pPr>
      <w:r>
        <w:rPr>
          <w:b/>
        </w:rPr>
        <w:t xml:space="preserve">29 Metatron’s cube. </w:t>
      </w:r>
      <w:r>
        <w:t>Connected all thirteen centers in a complete graph. A relative-motion frequency floor depended on all-to-all coupling; locally repeated cells retained soft collective motion.</w:t>
      </w:r>
    </w:p>
    <w:p>
      <w:pPr>
        <w:pStyle w:val="ListBullet"/>
      </w:pPr>
      <w:r>
        <w:rPr>
          <w:b/>
        </w:rPr>
        <w:t xml:space="preserve">30 Labyrinth. </w:t>
      </w:r>
      <w:r>
        <w:t>Modeled a winding route as a path network. Length along the route controlled the lowest internal frequency, which decreased as the route grew.</w:t>
      </w:r>
    </w:p>
    <w:p>
      <w:pPr>
        <w:pStyle w:val="Heading1"/>
      </w:pPr>
      <w:r>
        <w:t>Fractals curvature and quantum geometry</w:t>
      </w:r>
    </w:p>
    <w:p>
      <w:pPr>
        <w:pStyle w:val="ListBullet"/>
      </w:pPr>
      <w:r>
        <w:rPr>
          <w:b/>
        </w:rPr>
        <w:t xml:space="preserve">31 Fractal geometry with Fibonacci weights. </w:t>
      </w:r>
      <w:r>
        <w:t>Built growing Sierpiński spring graphs, reaching 1,095 vertices, and added Fibonacci edge weights. Both families retained internal frequencies tending to zero.</w:t>
      </w:r>
    </w:p>
    <w:p>
      <w:pPr>
        <w:pStyle w:val="ListBullet"/>
      </w:pPr>
      <w:r>
        <w:rPr>
          <w:b/>
        </w:rPr>
        <w:t xml:space="preserve">32 Holographic geometry with a hard wall. </w:t>
      </w:r>
      <w:r>
        <w:t>Calculated scalar modes in an anti-de Sitter region with an imposed infrared boundary. The discrete masses depended on that boundary scale.</w:t>
      </w:r>
    </w:p>
    <w:p>
      <w:pPr>
        <w:pStyle w:val="ListBullet"/>
      </w:pPr>
      <w:r>
        <w:rPr>
          <w:b/>
        </w:rPr>
        <w:t xml:space="preserve">33 Hyperbolic geometry. </w:t>
      </w:r>
      <w:r>
        <w:t>Tested scalar waves at fixed negative curvature. One coupling produced a curvature-controlled threshold; another specified coupling canceled it.</w:t>
      </w:r>
    </w:p>
    <w:p>
      <w:pPr>
        <w:pStyle w:val="ListBullet"/>
      </w:pPr>
      <w:r>
        <w:rPr>
          <w:b/>
        </w:rPr>
        <w:t xml:space="preserve">34 Time-dependent spacetime. </w:t>
      </w:r>
      <w:r>
        <w:t>Studied a conformal scalar in expanding and contracting backgrounds. Phase frequencies changed with the scale factor without defining a conserved stationary gap.</w:t>
      </w:r>
    </w:p>
    <w:p>
      <w:pPr>
        <w:pStyle w:val="ListBullet"/>
      </w:pPr>
      <w:r>
        <w:rPr>
          <w:b/>
        </w:rPr>
        <w:t xml:space="preserve">35 Quantum geometry on a fuzzy sphere. </w:t>
      </w:r>
      <w:r>
        <w:t>Replaced coordinates with noncommuting matrices. A fixed-radius internal threshold survived increasing matrix resolution but decreased when the physical radius grew.</w:t>
      </w:r>
    </w:p>
    <w:p>
      <w:pPr>
        <w:pStyle w:val="ListBullet"/>
      </w:pPr>
      <w:r>
        <w:rPr>
          <w:b/>
        </w:rPr>
        <w:t xml:space="preserve">36 Information topology and the toric code. </w:t>
      </w:r>
      <w:r>
        <w:t>Checked a quantum model with a size-independent gap above its ground space. Topology changed ground-state degeneracy; the model was distinct from Yang–Mills.</w:t>
      </w:r>
    </w:p>
    <w:p>
      <w:pPr>
        <w:pStyle w:val="ListBullet"/>
      </w:pPr>
      <w:r>
        <w:rPr>
          <w:b/>
        </w:rPr>
        <w:t xml:space="preserve">37 Mixed geometric and quantum models. </w:t>
      </w:r>
      <w:r>
        <w:t>Combined fractals with complete coupling, fuzzy-sphere factors, topological sectors and curved backgrounds. Depending on the interaction, gaps persisted or soft modes remained.</w:t>
      </w:r>
    </w:p>
    <w:p>
      <w:pPr>
        <w:pStyle w:val="ListBullet"/>
      </w:pPr>
      <w:r>
        <w:rPr>
          <w:b/>
        </w:rPr>
        <w:t xml:space="preserve">38 Bulk-to-boundary reduction. </w:t>
      </w:r>
      <w:r>
        <w:t>Eliminated interior coordinates from a fractal graph. The boundary description preserved static response information but did not manufacture a dynamical gap.</w:t>
      </w:r>
    </w:p>
    <w:p>
      <w:pPr>
        <w:pStyle w:val="Heading1"/>
      </w:pPr>
      <w:r>
        <w:t>Advanced structures and information proposals</w:t>
      </w:r>
    </w:p>
    <w:p>
      <w:pPr>
        <w:pStyle w:val="ListBullet"/>
      </w:pPr>
      <w:r>
        <w:rPr>
          <w:b/>
        </w:rPr>
        <w:t xml:space="preserve">39 E8 symmetry. </w:t>
      </w:r>
      <w:r>
        <w:t>Generated all 240 roots, checked their reflections and calculated compact-rotor energies. This finite internal calculation did not establish an interacting field-theory gap.</w:t>
      </w:r>
    </w:p>
    <w:p>
      <w:pPr>
        <w:pStyle w:val="ListBullet"/>
      </w:pPr>
      <w:r>
        <w:rPr>
          <w:b/>
        </w:rPr>
        <w:t xml:space="preserve">40 Quasicrystals and aperiodic tilings. </w:t>
      </w:r>
      <w:r>
        <w:t>Tested aperiodic structures and Harper-type spectra. Internal band gaps were distinguished from an isolated lowest level in an infinite system.</w:t>
      </w:r>
    </w:p>
    <w:p>
      <w:pPr>
        <w:pStyle w:val="ListBullet"/>
      </w:pPr>
      <w:r>
        <w:rPr>
          <w:b/>
        </w:rPr>
        <w:t xml:space="preserve">41 P-adic and non-Archimedean distance. </w:t>
      </w:r>
      <w:r>
        <w:t>Defined hierarchical scalar operators with a different distance rule. Fixed-size internal thresholds could decrease as the physical system grew.</w:t>
      </w:r>
    </w:p>
    <w:p>
      <w:pPr>
        <w:pStyle w:val="ListBullet"/>
      </w:pPr>
      <w:r>
        <w:rPr>
          <w:b/>
        </w:rPr>
        <w:t xml:space="preserve">42 Noncommutative torus. </w:t>
      </w:r>
      <w:r>
        <w:t>Used clock and shift matrices to calculate scalar spectra and connect with the quasicrystal operator. Increasing resolution differed from increasing physical size.</w:t>
      </w:r>
    </w:p>
    <w:p>
      <w:pPr>
        <w:pStyle w:val="ListBullet"/>
      </w:pPr>
      <w:r>
        <w:rPr>
          <w:b/>
        </w:rPr>
        <w:t xml:space="preserve">43 Dark matter and dark energy. </w:t>
      </w:r>
      <w:r>
        <w:t>Recalculated cosmological reference densities and tried the proposed bag-energy identification. Energy density, particle mass and a quantum gap remained different quantities.</w:t>
      </w:r>
    </w:p>
    <w:p>
      <w:pPr>
        <w:pStyle w:val="ListBullet"/>
      </w:pPr>
      <w:r>
        <w:rPr>
          <w:b/>
        </w:rPr>
        <w:t xml:space="preserve">44 Holographic principles and dualities. </w:t>
      </w:r>
      <w:r>
        <w:t>Tested information-capacity arguments and exact equivalences. Exact dual descriptions preserved matched spectra; information counts alone did not determine excitation energies.</w:t>
      </w:r>
    </w:p>
    <w:p>
      <w:pPr>
        <w:pStyle w:val="ListBullet"/>
      </w:pPr>
      <w:r>
        <w:rPr>
          <w:b/>
        </w:rPr>
        <w:t xml:space="preserve">45 Holography with a soft wall. </w:t>
      </w:r>
      <w:r>
        <w:t>Calculated a model with an imposed confining profile and discrete masses. Its positive scale came from that profile, without a derivation from pure Yang–Mills.</w:t>
      </w:r>
    </w:p>
    <w:p>
      <w:pPr>
        <w:pStyle w:val="ListBullet"/>
      </w:pPr>
      <w:r>
        <w:rPr>
          <w:b/>
        </w:rPr>
        <w:t xml:space="preserve">46 Constructor theory. </w:t>
      </w:r>
      <w:r>
        <w:t>Compared allowed transformations, energy budgets and timing. The same possibility structure could support different energy scales and did not fix a mass gap.</w:t>
      </w:r>
    </w:p>
    <w:p>
      <w:pPr>
        <w:pStyle w:val="ListBullet"/>
      </w:pPr>
      <w:r>
        <w:rPr>
          <w:b/>
        </w:rPr>
        <w:t xml:space="preserve">47 Conscious agents and relaxation. </w:t>
      </w:r>
      <w:r>
        <w:t>Tested finite stochastic agent models. Keeping connectivity fixed while changing transition rates could make relaxation arbitrarily slow; these were not gauge Hamiltonians.</w:t>
      </w:r>
    </w:p>
    <w:p>
      <w:pPr>
        <w:pStyle w:val="ListBullet"/>
      </w:pPr>
      <w:r>
        <w:rPr>
          <w:b/>
        </w:rPr>
        <w:t xml:space="preserve">48 Decorated permutations. </w:t>
      </w:r>
      <w:r>
        <w:t>Examined combinatorial labels and the continuous parameters they leave free. A shared permutation label did not determine unique dynamics or excitation energies.</w:t>
      </w:r>
    </w:p>
    <w:p>
      <w:pPr>
        <w:pStyle w:val="Heading1"/>
      </w:pPr>
      <w:r>
        <w:t>Direct gauge calculations and rigorous bounds</w:t>
      </w:r>
    </w:p>
    <w:p>
      <w:pPr>
        <w:pStyle w:val="ListBullet"/>
      </w:pPr>
      <w:r>
        <w:rPr>
          <w:b/>
        </w:rPr>
        <w:t xml:space="preserve">49 A concrete Yang Mills roadmap. </w:t>
      </w:r>
      <w:r>
        <w:t>Specified an SU2 Hamiltonian, Gauss law, physical states and intended regulator limits. This gave the next calculations a common mathematical target.</w:t>
      </w:r>
    </w:p>
    <w:p>
      <w:pPr>
        <w:pStyle w:val="ListBullet"/>
      </w:pPr>
      <w:r>
        <w:rPr>
          <w:b/>
        </w:rPr>
        <w:t xml:space="preserve">50 Two squares sharing one link. </w:t>
      </w:r>
      <w:r>
        <w:t>Built an interacting two-square gauge model with four retained states. Its initial projected gap was approximately 3.159603 at equal coefficients.</w:t>
      </w:r>
    </w:p>
    <w:p>
      <w:pPr>
        <w:pStyle w:val="ListBullet"/>
      </w:pPr>
      <w:r>
        <w:rPr>
          <w:b/>
        </w:rPr>
        <w:t xml:space="preserve">51 Increasing the allowed spins. </w:t>
      </w:r>
      <w:r>
        <w:t>Expanded the two-square calculation to 616 states. The gap estimate settled near 3.091959020, revealing truncation error in the four-state value.</w:t>
      </w:r>
    </w:p>
    <w:p>
      <w:pPr>
        <w:pStyle w:val="ListBullet"/>
      </w:pPr>
      <w:r>
        <w:rPr>
          <w:b/>
        </w:rPr>
        <w:t xml:space="preserve">52 Bounding all omitted spins. </w:t>
      </w:r>
      <w:r>
        <w:t>Used exact arithmetic and operator comparison to certify the two-square gap between 3.09195898 and 3.09195907, including the full infinite spin tower.</w:t>
      </w:r>
    </w:p>
    <w:p>
      <w:pPr>
        <w:pStyle w:val="ListBullet"/>
      </w:pPr>
      <w:r>
        <w:rPr>
          <w:b/>
        </w:rPr>
        <w:t xml:space="preserve">53 Independent integration and correlation checks. </w:t>
      </w:r>
      <w:r>
        <w:t>Checked matrix elements through group integration and separate constructions. Different symmetry channels showed how one correlation could miss the lowest excitation.</w:t>
      </w:r>
    </w:p>
    <w:p>
      <w:pPr>
        <w:pStyle w:val="ListBullet"/>
      </w:pPr>
      <w:r>
        <w:rPr>
          <w:b/>
        </w:rPr>
        <w:t xml:space="preserve">54 One complete spatial cube. </w:t>
      </w:r>
      <w:r>
        <w:t>Included six square faces, twelve links and eight gauge-constrained vertices. The faces shared their actual links rather than acting as independent squares.</w:t>
      </w:r>
    </w:p>
    <w:p>
      <w:pPr>
        <w:pStyle w:val="ListBullet"/>
      </w:pPr>
      <w:r>
        <w:rPr>
          <w:b/>
        </w:rPr>
        <w:t xml:space="preserve">55 Two routes to larger cube bases. </w:t>
      </w:r>
      <w:r>
        <w:t>Increased link-spin limits and complete electric-energy cutoffs. A 34,680-state calculation gave a projected single-cube gap of approximately 2.951042835.</w:t>
      </w:r>
    </w:p>
    <w:p>
      <w:pPr>
        <w:pStyle w:val="ListBullet"/>
      </w:pPr>
      <w:r>
        <w:rPr>
          <w:b/>
        </w:rPr>
        <w:t xml:space="preserve">56 A certified full single-cube gap. </w:t>
      </w:r>
      <w:r>
        <w:t>Developed bounded integer arithmetic and independent checks. The completed certificate placed the untruncated fixed-cube gap between 2.941733 and 2.958693.</w:t>
      </w:r>
    </w:p>
    <w:p>
      <w:pPr>
        <w:pStyle w:val="ListBullet"/>
      </w:pPr>
      <w:r>
        <w:rPr>
          <w:b/>
        </w:rPr>
        <w:t xml:space="preserve">57 Joining cubes with all coupling channels. </w:t>
      </w:r>
      <w:r>
        <w:t>Included every invariant channel at four-link vertices. Auxiliary labels represented how physical spins combine and carried no extra physical electric energy.</w:t>
      </w:r>
    </w:p>
    <w:p>
      <w:pPr>
        <w:pStyle w:val="ListBullet"/>
      </w:pPr>
      <w:r>
        <w:rPr>
          <w:b/>
        </w:rPr>
        <w:t xml:space="preserve">58 Correcting representation and orientation signs. </w:t>
      </w:r>
      <w:r>
        <w:t>Equivalent descriptions exposed sign errors. Independent tensors and 3,368 exact local checks confirmed corrected coefficients and matching spectra.</w:t>
      </w:r>
    </w:p>
    <w:p>
      <w:pPr>
        <w:pStyle w:val="ListBullet"/>
      </w:pPr>
      <w:r>
        <w:rPr>
          <w:b/>
        </w:rPr>
        <w:t xml:space="preserve">59 Increasing volume from one cube to three. </w:t>
      </w:r>
      <w:r>
        <w:t>Ran studies up to 771,425 states. The largest-run gap estimates were 2.951119, 2.910871 and 2.901544, with remaining cutoff sensitivity.</w:t>
      </w:r>
    </w:p>
    <w:p>
      <w:pPr>
        <w:pStyle w:val="ListBullet"/>
      </w:pPr>
      <w:r>
        <w:rPr>
          <w:b/>
        </w:rPr>
        <w:t xml:space="preserve">60 Weaker magnetic interaction. </w:t>
      </w:r>
      <w:r>
        <w:t>Repeated the volume study at one-quarter magnetic strength. Gap estimates were 3.00095, 2.99861 and 2.99784; the purely electric gap was exactly 3.</w:t>
      </w:r>
    </w:p>
    <w:p>
      <w:pPr>
        <w:pStyle w:val="ListBullet"/>
      </w:pPr>
      <w:r>
        <w:rPr>
          <w:b/>
        </w:rPr>
        <w:t xml:space="preserve">61 Positive gaps for every finite graph. </w:t>
      </w:r>
      <w:r>
        <w:t>Applied compactness and positivity-improving evolution to prove a unique vacuum and positive gap for each finite graph. A size-independent bound remained unproved.</w:t>
      </w:r>
    </w:p>
    <w:p>
      <w:pPr>
        <w:pStyle w:val="ListBullet"/>
      </w:pPr>
      <w:r>
        <w:rPr>
          <w:b/>
        </w:rPr>
        <w:t xml:space="preserve">62 Why the existing bound weakens with volume. </w:t>
      </w:r>
      <w:r>
        <w:t>Proved that vacuum energy grows with the chain. A fixed electric cutoff eventually becomes ineffective; a stronger local-energy comparison was proposed.</w:t>
      </w:r>
    </w:p>
    <w:p>
      <w:pPr>
        <w:pStyle w:val="Heading1"/>
      </w:pPr>
      <w:r>
        <w:t>Mathematical reality and proof tools</w:t>
      </w:r>
    </w:p>
    <w:p>
      <w:pPr>
        <w:pStyle w:val="ListBullet"/>
      </w:pPr>
      <w:r>
        <w:rPr>
          <w:b/>
        </w:rPr>
        <w:t xml:space="preserve">63 Matter having properties or being structure. </w:t>
      </w:r>
      <w:r>
        <w:t>Discussed the mathematical-universe interpretation. Changing the interpretation alone did not change the model or supply a new spectral inequality.</w:t>
      </w:r>
    </w:p>
    <w:p>
      <w:pPr>
        <w:pStyle w:val="ListBullet"/>
      </w:pPr>
      <w:r>
        <w:rPr>
          <w:b/>
        </w:rPr>
        <w:t xml:space="preserve">64 The Level IV multiverse. </w:t>
      </w:r>
      <w:r>
        <w:t>Considered a collection of mathematical worlds. The proposal did not select our physical model or determine its parameter values and gap.</w:t>
      </w:r>
    </w:p>
    <w:p>
      <w:pPr>
        <w:pStyle w:val="ListBullet"/>
      </w:pPr>
      <w:r>
        <w:rPr>
          <w:b/>
        </w:rPr>
        <w:t xml:space="preserve">65 Gödel and spectral undecidability. </w:t>
      </w:r>
      <w:r>
        <w:t>Examined limits on general proof algorithms and known undecidable spectral-gap families. No undecidability result for this particular Yang–Mills problem was established.</w:t>
      </w:r>
    </w:p>
    <w:p>
      <w:pPr>
        <w:pStyle w:val="ListBullet"/>
      </w:pPr>
      <w:r>
        <w:rPr>
          <w:b/>
        </w:rPr>
        <w:t xml:space="preserve">66 Reverse engineering the meaning of space. </w:t>
      </w:r>
      <w:r>
        <w:t>Separated graph assumptions, lattice spacing and physical observations. Recovering a program’s input from its output would not explain why nature chooses that input.</w:t>
      </w:r>
    </w:p>
    <w:p>
      <w:pPr>
        <w:pStyle w:val="ListBullet"/>
      </w:pPr>
      <w:r>
        <w:rPr>
          <w:b/>
        </w:rPr>
        <w:t xml:space="preserve">67 Preserving the research record. </w:t>
      </w:r>
      <w:r>
        <w:t>Saved reports, data, derivations and reproduction archives. The joined-cube package covers the latest stage; earlier studies remain in the broader outputs collection.</w:t>
      </w:r>
    </w:p>
    <w:p>
      <w:pPr>
        <w:pStyle w:val="ListBullet"/>
      </w:pPr>
      <w:r>
        <w:rPr>
          <w:b/>
        </w:rPr>
        <w:t xml:space="preserve">68 AlphaGeometry2 and Lean. </w:t>
      </w:r>
      <w:r>
        <w:t>Reviewed access to AlphaGeometry2’s released geometry engine and discussed Lean for general proof steps. Installation and formalization were proposed, not performed.</w:t>
      </w:r>
    </w:p>
    <w:p>
      <w:pPr>
        <w:pStyle w:val="Heading1"/>
      </w:pPr>
      <w:r>
        <w:t>Current position</w:t>
      </w:r>
    </w:p>
    <w:p>
      <w:r>
        <w:t>The strongest completed results concern specified finite SU2 gauge systems and controlled state cutoffs. The remaining target is a positive lower bound that survives growth in all three spatial directions, followed by a justified continuum construction. A chain with fixed width and height does not settle that target.</w:t>
      </w:r>
    </w:p>
    <w:p>
      <w:r>
        <w:t>Detailed reports and calculation archives are in the project outputs folder. Key records are the original research audit, the two-square certificate, the single-cube study, and SU2_Joined_Cubes_Volume_Study.md.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Research chronology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120" w:line="259" w:lineRule="auto"/>
      <w:ind w:left="259" w:hanging="259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Yang Mills Research Chronology</dc:title>
  <dc:subject>Chronological research steps and brief outcomes</dc:subject>
  <dc:creator>Research collaboration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