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color w:val="1F3864"/>
          <w:sz w:val="32"/>
          <w:szCs w:val="32"/>
        </w:rPr>
        <w:t xml:space="preserve">Acurácia Diagnóstica de Modelos de Inteligência Artificial Generativa e Multimodal na Interpretação de Radiografias de Tórax:</w:t>
      </w:r>
    </w:p>
    <w:p>
      <w:pPr>
        <w:spacing w:before="0" w:after="100"/>
        <w:jc w:val="center"/>
      </w:pPr>
      <w:r>
        <w:rPr>
          <w:rFonts w:ascii="Arial" w:cs="Arial" w:eastAsia="Arial" w:hAnsi="Arial"/>
          <w:b/>
          <w:bCs/>
          <w:color w:val="1F3864"/>
          <w:sz w:val="32"/>
          <w:szCs w:val="32"/>
        </w:rPr>
        <w:t xml:space="preserve">Uma Revisão Sistemática e Meta-análise Bivariada Hierárquica</w:t>
      </w:r>
    </w:p>
    <w:p>
      <w:pPr>
        <w:spacing w:before="80" w:after="400"/>
        <w:jc w:val="center"/>
      </w:pPr>
      <w:r>
        <w:rPr>
          <w:rFonts w:ascii="Arial" w:cs="Arial" w:eastAsia="Arial" w:hAnsi="Arial"/>
          <w:i/>
          <w:iCs/>
          <w:color w:val="505050"/>
          <w:sz w:val="22"/>
          <w:szCs w:val="22"/>
        </w:rPr>
        <w:t xml:space="preserve">Revisão Sistemática e Meta-análise — Conforme Diretrizes PRISMA-DTA | v9 Auditado</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Resumo</w:t>
      </w:r>
    </w:p>
    <w:p>
      <w:pPr>
        <w:spacing w:before="0" w:after="180"/>
        <w:jc w:val="both"/>
      </w:pPr>
      <w:r>
        <w:rPr>
          <w:rFonts w:ascii="Arial" w:cs="Arial" w:eastAsia="Arial" w:hAnsi="Arial"/>
          <w:b/>
          <w:bCs/>
          <w:i w:val="false"/>
          <w:iCs w:val="false"/>
          <w:color w:val="000000"/>
          <w:sz w:val="24"/>
          <w:szCs w:val="24"/>
        </w:rPr>
        <w:t xml:space="preserve">Objetivo: </w:t>
      </w:r>
      <w:r>
        <w:rPr>
          <w:rFonts w:ascii="Arial" w:cs="Arial" w:eastAsia="Arial" w:hAnsi="Arial"/>
          <w:b w:val="false"/>
          <w:bCs w:val="false"/>
          <w:i w:val="false"/>
          <w:iCs w:val="false"/>
          <w:color w:val="000000"/>
          <w:sz w:val="24"/>
          <w:szCs w:val="24"/>
        </w:rPr>
        <w:t xml:space="preserve">Avaliar a acurácia diagnóstica global de modelos de Inteligência Artificial Generativa e de Linguagem Multimodal (VLMs/LLMs) na interpretação de radiografias de tórax e na geração autônoma de laudos radiológicos.</w:t>
      </w:r>
    </w:p>
    <w:p>
      <w:pPr>
        <w:spacing w:before="0" w:after="180"/>
        <w:jc w:val="both"/>
      </w:pPr>
      <w:r>
        <w:rPr>
          <w:rFonts w:ascii="Arial" w:cs="Arial" w:eastAsia="Arial" w:hAnsi="Arial"/>
          <w:b/>
          <w:bCs/>
          <w:i w:val="false"/>
          <w:iCs w:val="false"/>
          <w:color w:val="000000"/>
          <w:sz w:val="24"/>
          <w:szCs w:val="24"/>
        </w:rPr>
        <w:t xml:space="preserve">Métodos: </w:t>
      </w:r>
      <w:r>
        <w:rPr>
          <w:rFonts w:ascii="Arial" w:cs="Arial" w:eastAsia="Arial" w:hAnsi="Arial"/>
          <w:b w:val="false"/>
          <w:bCs w:val="false"/>
          <w:i w:val="false"/>
          <w:iCs w:val="false"/>
          <w:color w:val="000000"/>
          <w:sz w:val="24"/>
          <w:szCs w:val="24"/>
        </w:rPr>
        <w:t xml:space="preserve">Revisão sistemática e meta-análise conduzida em conformidade com as diretrizes PRISMA-DTA,³ com avaliação de qualidade pelo instrumento QUADAS-2.⁴ A síntese quantitativa utilizou o modelo bivariado hierárquico de efeitos aleatórios (Reitsma)⁶ estimado pelo método REML. Foram incluídos 10 estudos primários; a meta-análise principal restringiu-se aos 7 estudos com dados brutos completos (Raw 2×2), totalizando 103.417 radiografias.</w:t>
      </w:r>
    </w:p>
    <w:p>
      <w:pPr>
        <w:spacing w:before="0" w:after="180"/>
        <w:jc w:val="both"/>
      </w:pPr>
      <w:r>
        <w:rPr>
          <w:rFonts w:ascii="Arial" w:cs="Arial" w:eastAsia="Arial" w:hAnsi="Arial"/>
          <w:b/>
          <w:bCs/>
          <w:i w:val="false"/>
          <w:iCs w:val="false"/>
          <w:color w:val="000000"/>
          <w:sz w:val="24"/>
          <w:szCs w:val="24"/>
        </w:rPr>
        <w:t xml:space="preserve">Resultados: </w:t>
      </w:r>
      <w:r>
        <w:rPr>
          <w:rFonts w:ascii="Arial" w:cs="Arial" w:eastAsia="Arial" w:hAnsi="Arial"/>
          <w:b w:val="false"/>
          <w:bCs w:val="false"/>
          <w:i w:val="false"/>
          <w:iCs w:val="false"/>
          <w:color w:val="000000"/>
          <w:sz w:val="24"/>
          <w:szCs w:val="24"/>
        </w:rPr>
        <w:t xml:space="preserve">A meta-análise bivariada revelou sensibilidade agrupada de 87,9% (IC 95%: 78,6–93,5%) e especificidade agrupada de 97,9% (IC 95%: 89,7–99,6%). A AUC SROC foi de 0,955. A RV+ foi de 41,83 e a RV− de 0,124. A heterogeneidade foi moderada (I²=61%, Zhou-Dendukuri). Modelos VLM demonstraram Sens=93,6% e Spec=92,1% (N=4 estudos bivariados); modelos LLM demonstraram Sens=78,7% e Spec=99,2% (N=2 estudos bivariados); estimativas derivadas do submodelo bivariado REML.</w:t>
      </w:r>
    </w:p>
    <w:p>
      <w:pPr>
        <w:spacing w:before="0" w:after="180"/>
        <w:jc w:val="both"/>
      </w:pPr>
      <w:r>
        <w:rPr>
          <w:rFonts w:ascii="Arial" w:cs="Arial" w:eastAsia="Arial" w:hAnsi="Arial"/>
          <w:b/>
          <w:bCs/>
          <w:i w:val="false"/>
          <w:iCs w:val="false"/>
          <w:color w:val="000000"/>
          <w:sz w:val="24"/>
          <w:szCs w:val="24"/>
        </w:rPr>
        <w:t xml:space="preserve">Conclusão: </w:t>
      </w:r>
      <w:r>
        <w:rPr>
          <w:rFonts w:ascii="Arial" w:cs="Arial" w:eastAsia="Arial" w:hAnsi="Arial"/>
          <w:b w:val="false"/>
          <w:bCs w:val="false"/>
          <w:i w:val="false"/>
          <w:iCs w:val="false"/>
          <w:color w:val="000000"/>
          <w:sz w:val="24"/>
          <w:szCs w:val="24"/>
        </w:rPr>
        <w:t xml:space="preserve">Modelos de IA Generativa Multimodal demonstram acurácia diagnóstica promissora em triagem torácica, com especificidade excepcional (97,9%) e poder de confirmação diagnóstica elevado (RV+=41,83). A padronização do relato de matrizes de confusão brutas e estudos prospectivos multicêntricos são necessidades críticas para validação conclusiva.</w:t>
      </w:r>
    </w:p>
    <w:p>
      <w:pPr>
        <w:spacing w:before="0" w:after="320"/>
        <w:jc w:val="both"/>
      </w:pPr>
      <w:r>
        <w:rPr>
          <w:rFonts w:ascii="Arial" w:cs="Arial" w:eastAsia="Arial" w:hAnsi="Arial"/>
          <w:b w:val="false"/>
          <w:bCs w:val="false"/>
          <w:i/>
          <w:iCs/>
          <w:color w:val="000000"/>
          <w:sz w:val="24"/>
          <w:szCs w:val="24"/>
        </w:rPr>
        <w:t xml:space="preserve">Palavras-chave: Inteligência Artificial Generativa; Modelos de Linguagem Multimodal; Radiografia de Tórax; Meta-análise; Acurácia Diagnóstica; PRISMA-DTA.</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1. Introdução</w:t>
      </w:r>
    </w:p>
    <w:p>
      <w:pPr>
        <w:pStyle w:val="Heading2"/>
        <w:spacing w:before="280" w:after="160"/>
      </w:pPr>
      <w:r>
        <w:rPr>
          <w:rFonts w:ascii="Arial" w:cs="Arial" w:eastAsia="Arial" w:hAnsi="Arial"/>
          <w:b/>
          <w:bCs/>
          <w:color w:val="2E5591"/>
          <w:sz w:val="26"/>
          <w:szCs w:val="26"/>
        </w:rPr>
        <w:t xml:space="preserve">1.1 Contextualização Clínica e o Desafio da Radiologia</w:t>
      </w:r>
    </w:p>
    <w:p>
      <w:pPr>
        <w:spacing w:before="0" w:after="180"/>
        <w:jc w:val="both"/>
      </w:pPr>
      <w:r>
        <w:rPr>
          <w:rFonts w:ascii="Arial" w:cs="Arial" w:eastAsia="Arial" w:hAnsi="Arial"/>
          <w:b w:val="false"/>
          <w:bCs w:val="false"/>
          <w:i w:val="false"/>
          <w:iCs w:val="false"/>
          <w:color w:val="000000"/>
          <w:sz w:val="24"/>
          <w:szCs w:val="24"/>
        </w:rPr>
        <w:t xml:space="preserve">A radiografia de tórax (CXR) é o exame de imagem médica mais frequentemente realizado em todo o mundo, representando parcela substancial dos bilhões de procedimentos radiológicos executados anualmente.¹ Devido à sua eficácia, baixo custo e facilidade de aquisição na triagem e no diagnóstico de patologias cardiopulmonares — especialmente em unidades de terapia intensiva, clínicas ambulatoriais e departamentos de emergência —, a demanda por este exame tem crescido de maneira ininterrupta e exponencial.</w:t>
      </w:r>
    </w:p>
    <w:p>
      <w:pPr>
        <w:spacing w:before="0" w:after="180"/>
        <w:jc w:val="both"/>
      </w:pPr>
      <w:r>
        <w:rPr>
          <w:rFonts w:ascii="Arial" w:cs="Arial" w:eastAsia="Arial" w:hAnsi="Arial"/>
          <w:b w:val="false"/>
          <w:bCs w:val="false"/>
          <w:i w:val="false"/>
          <w:iCs w:val="false"/>
          <w:color w:val="000000"/>
          <w:sz w:val="24"/>
          <w:szCs w:val="24"/>
        </w:rPr>
        <w:t xml:space="preserve">O volume crescente de imagens geradas impõe severo gargalo aos sistemas de saúde, contrastando com a escassez global de médicos radiologistas. A dependência da interpretação humana associada à limitação de profissionais disponíveis resultou em ambiente de trabalho caracterizado por sobrecarga extrema, gerando acúmulos consideráveis de exames que aguardam laudos formais, o que restringe a eficiência do cuidado primário e emergencial.</w:t>
      </w:r>
    </w:p>
    <w:p>
      <w:pPr>
        <w:spacing w:before="0" w:after="180"/>
        <w:jc w:val="both"/>
      </w:pPr>
      <w:r>
        <w:rPr>
          <w:rFonts w:ascii="Arial" w:cs="Arial" w:eastAsia="Arial" w:hAnsi="Arial"/>
          <w:b w:val="false"/>
          <w:bCs w:val="false"/>
          <w:i w:val="false"/>
          <w:iCs w:val="false"/>
          <w:color w:val="000000"/>
          <w:sz w:val="24"/>
          <w:szCs w:val="24"/>
        </w:rPr>
        <w:t xml:space="preserve">Esse cenário tem impulsionado alta prevalência de burnout entre os radiologistas. Evidências apontam que as taxas de esgotamento na radiologia mantêm-se consistentemente elevadas em relação à média dos profissionais médicos, afetando aproximadamente metade dos especialistas que atuam no modelo de prática privada nos Estados Unidos.² A exigência por alta produtividade, jornadas que incluem plantões noturnos e de fim de semana, tornam a rotina insustentável e representam os principais fatores de risco para esse esgotamento profissional. O impacto direto dessa saturação reflete-se na diminuição da segurança e da qualidade do atendimento, tornando a interpretação das imagens radiográficas vulnerável a falhas cognitivas derivadas da fadiga.</w:t>
      </w:r>
    </w:p>
    <w:p>
      <w:pPr>
        <w:pStyle w:val="Heading2"/>
        <w:spacing w:before="280" w:after="160"/>
      </w:pPr>
      <w:r>
        <w:rPr>
          <w:rFonts w:ascii="Arial" w:cs="Arial" w:eastAsia="Arial" w:hAnsi="Arial"/>
          <w:b/>
          <w:bCs/>
          <w:color w:val="2E5591"/>
          <w:sz w:val="26"/>
          <w:szCs w:val="26"/>
        </w:rPr>
        <w:t xml:space="preserve">1.2 Evolução Tecnológica: Da Classificação Tradicional à IA Generativa e Multimodal</w:t>
      </w:r>
    </w:p>
    <w:p>
      <w:pPr>
        <w:spacing w:before="0" w:after="180"/>
        <w:jc w:val="both"/>
      </w:pPr>
      <w:r>
        <w:rPr>
          <w:rFonts w:ascii="Arial" w:cs="Arial" w:eastAsia="Arial" w:hAnsi="Arial"/>
          <w:b w:val="false"/>
          <w:bCs w:val="false"/>
          <w:i w:val="false"/>
          <w:iCs w:val="false"/>
          <w:color w:val="000000"/>
          <w:sz w:val="24"/>
          <w:szCs w:val="24"/>
        </w:rPr>
        <w:t xml:space="preserve">Historicamente, a automação da análise de imagens radiológicas fundamentou-se em sistemas de detecção auxiliada por computador (CAD) e, posteriormente, no uso de Redes Neurais Convolucionais (CNNs). Esses algoritmos alcançaram proficiência notável em tarefas estritas de visão computacional, como detecção de anomalias, segmentação de estruturas e classificação de achados patológicos. Contudo, a utilidade clínica direta dessas abordagens apresenta restrições inerentes: modelos tradicionais de classificação tendem a reduzir o processo diagnóstico a predições binárias, indicando apenas a presença ou ausência de uma condição, sem a capacidade de gerar narrativa diagnóstica interpretável, integrar achados secundários ou contextualizar o quadro clínico do paciente.</w:t>
      </w:r>
    </w:p>
    <w:p>
      <w:pPr>
        <w:spacing w:before="0" w:after="180"/>
        <w:jc w:val="both"/>
      </w:pPr>
      <w:r>
        <w:rPr>
          <w:rFonts w:ascii="Arial" w:cs="Arial" w:eastAsia="Arial" w:hAnsi="Arial"/>
          <w:b w:val="false"/>
          <w:bCs w:val="false"/>
          <w:i w:val="false"/>
          <w:iCs w:val="false"/>
          <w:color w:val="000000"/>
          <w:sz w:val="24"/>
          <w:szCs w:val="24"/>
        </w:rPr>
        <w:t xml:space="preserve">Os Modelos de Linguagem Multimodal de Grande Escala (VLMs/LLMs) representam uma ruptura paradigmática nesse cenário. Ao integrar capacidades de compreensão visual e geração de linguagem natural em uma arquitetura unificada, esses modelos superam as limitações classificatórias dos sistemas anteriores, demonstrando capacidade de interpretar imagens radiológicas com raciocínio contextual, gerar laudos estruturados em linguagem clínica e responder a consultas diagnósticas em formato conversacional. Esta capacidade emergente os posiciona não apenas como ferramentas de triagem binária, mas como assistentes cognitivos capazes de emular aspectos do raciocínio diagnóstico radiológico.</w:t>
      </w:r>
    </w:p>
    <w:p>
      <w:pPr>
        <w:pStyle w:val="Heading2"/>
        <w:spacing w:before="280" w:after="160"/>
      </w:pPr>
      <w:r>
        <w:rPr>
          <w:rFonts w:ascii="Arial" w:cs="Arial" w:eastAsia="Arial" w:hAnsi="Arial"/>
          <w:b/>
          <w:bCs/>
          <w:color w:val="2E5591"/>
          <w:sz w:val="26"/>
          <w:szCs w:val="26"/>
        </w:rPr>
        <w:t xml:space="preserve">1.3 Objetivo do Estudo</w:t>
      </w:r>
    </w:p>
    <w:p>
      <w:pPr>
        <w:spacing w:before="0" w:after="180"/>
        <w:jc w:val="both"/>
      </w:pPr>
      <w:r>
        <w:rPr>
          <w:rFonts w:ascii="Arial" w:cs="Arial" w:eastAsia="Arial" w:hAnsi="Arial"/>
          <w:b w:val="false"/>
          <w:bCs w:val="false"/>
          <w:i w:val="false"/>
          <w:iCs w:val="false"/>
          <w:color w:val="000000"/>
          <w:sz w:val="24"/>
          <w:szCs w:val="24"/>
        </w:rPr>
        <w:t xml:space="preserve">O objetivo principal desta investigação é determinar, com elevado rigor clínico e estatístico, a acurácia diagnóstica global — expressa pelas métricas conjuntas de sensibilidade e especificidade — de modelos de IA Generativa e Multimodal (VLMs/LLMs) na interpretação de radiografias de tórax e na elaboração autônoma de laudos radiológicos, por meio de meta-análise bivariada hierárquica conforme diretrizes PRISMA-DTA.³</w:t>
      </w:r>
    </w:p>
    <w:p>
      <w:pPr>
        <w:spacing w:before="0" w:after="180"/>
        <w:jc w:val="both"/>
      </w:pPr>
      <w:r>
        <w:rPr>
          <w:rFonts w:ascii="Arial" w:cs="Arial" w:eastAsia="Arial" w:hAnsi="Arial"/>
          <w:b w:val="false"/>
          <w:bCs w:val="false"/>
          <w:i w:val="false"/>
          <w:iCs w:val="false"/>
          <w:color w:val="000000"/>
          <w:sz w:val="24"/>
          <w:szCs w:val="24"/>
        </w:rPr>
        <w:t xml:space="preserve">Os objetivos secundários englobam: (a) mapear o desempenho diagnóstico da IA generativa frente a condições torácicas de diferentes graus de complexidade perceptiva; (b) investigar a capacidade desses modelos como ferramentas de triagem confiáveis para diferenciar exames normais de anormais; e (c) comparar diretamente o desempenho quantitativo de arquiteturas VLM e LLM, identificando perfis complementares de sensibilidade e especificidade com implicações para seleção clínica por cenário de uso.</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2. Métodos</w:t>
      </w:r>
    </w:p>
    <w:p>
      <w:pPr>
        <w:pStyle w:val="Heading2"/>
        <w:spacing w:before="280" w:after="160"/>
      </w:pPr>
      <w:r>
        <w:rPr>
          <w:rFonts w:ascii="Arial" w:cs="Arial" w:eastAsia="Arial" w:hAnsi="Arial"/>
          <w:b/>
          <w:bCs/>
          <w:color w:val="2E5591"/>
          <w:sz w:val="26"/>
          <w:szCs w:val="26"/>
        </w:rPr>
        <w:t xml:space="preserve">2.1 Diretrizes e Desenho</w:t>
      </w:r>
    </w:p>
    <w:p>
      <w:pPr>
        <w:spacing w:before="0" w:after="180"/>
        <w:jc w:val="both"/>
      </w:pPr>
      <w:r>
        <w:rPr>
          <w:rFonts w:ascii="Arial" w:cs="Arial" w:eastAsia="Arial" w:hAnsi="Arial"/>
          <w:b w:val="false"/>
          <w:bCs w:val="false"/>
          <w:i w:val="false"/>
          <w:iCs w:val="false"/>
          <w:color w:val="000000"/>
          <w:sz w:val="24"/>
          <w:szCs w:val="24"/>
        </w:rPr>
        <w:t xml:space="preserve">Esta meta-análise foi rigorosamente desenhada e conduzida em estrita conformidade com as diretrizes PRISMA-DTA (Preferred Reporting Items for Systematic Reviews and Meta-Analyses of Diagnostic Test Accuracy Studies).³ A adoção formal deste protocolo assegura transparência metodológica, mitiga riscos de viés de relato e garante a plena replicabilidade da síntese de evidências.</w:t>
      </w:r>
    </w:p>
    <w:p>
      <w:pPr>
        <w:pStyle w:val="Heading2"/>
        <w:spacing w:before="280" w:after="160"/>
      </w:pPr>
      <w:r>
        <w:rPr>
          <w:rFonts w:ascii="Arial" w:cs="Arial" w:eastAsia="Arial" w:hAnsi="Arial"/>
          <w:b/>
          <w:bCs/>
          <w:color w:val="2E5591"/>
          <w:sz w:val="26"/>
          <w:szCs w:val="26"/>
        </w:rPr>
        <w:t xml:space="preserve">2.2 Estratégia de Busca e Critérios de Elegibilidade (PIRT)</w:t>
      </w:r>
    </w:p>
    <w:p>
      <w:pPr>
        <w:spacing w:before="0" w:after="180"/>
        <w:jc w:val="both"/>
      </w:pPr>
      <w:r>
        <w:rPr>
          <w:rFonts w:ascii="Arial" w:cs="Arial" w:eastAsia="Arial" w:hAnsi="Arial"/>
          <w:b w:val="false"/>
          <w:bCs w:val="false"/>
          <w:i w:val="false"/>
          <w:iCs w:val="false"/>
          <w:color w:val="000000"/>
          <w:sz w:val="24"/>
          <w:szCs w:val="24"/>
        </w:rPr>
        <w:t xml:space="preserve">Utilizou-se pipeline automatizada em Python para varrer as bases PubMed, SciELO e BVS, com N=4.000 registros iniciais submetidos a triagem assistiva por NLP via TF-IDF seguida de validação manual independente. É necessário declarar que o limiar TF-IDF Score foi determinado empiricamente, representando uma limitação de reprodutibilidade metodológica. Os critérios de inclusão seguiram a estrutura PIRT:</w:t>
      </w:r>
    </w:p>
    <w:p>
      <w:pPr>
        <w:pStyle w:val="ListParagraph"/>
        <w:numPr>
          <w:ilvl w:val="0"/>
          <w:numId w:val="2"/>
        </w:numPr>
        <w:spacing w:before="0" w:after="120"/>
      </w:pPr>
      <w:r>
        <w:rPr>
          <w:rFonts w:ascii="Arial" w:cs="Arial" w:eastAsia="Arial" w:hAnsi="Arial"/>
          <w:sz w:val="24"/>
          <w:szCs w:val="24"/>
        </w:rPr>
        <w:t xml:space="preserve">P (População): Pacientes adultos submetidos a radiografias de tórax em ambientes de triagem, emergência ou acompanhamento clínico (dados de 2018–2026).</w:t>
      </w:r>
    </w:p>
    <w:p>
      <w:pPr>
        <w:pStyle w:val="ListParagraph"/>
        <w:numPr>
          <w:ilvl w:val="0"/>
          <w:numId w:val="2"/>
        </w:numPr>
        <w:spacing w:before="0" w:after="120"/>
      </w:pPr>
      <w:r>
        <w:rPr>
          <w:rFonts w:ascii="Arial" w:cs="Arial" w:eastAsia="Arial" w:hAnsi="Arial"/>
          <w:sz w:val="24"/>
          <w:szCs w:val="24"/>
        </w:rPr>
        <w:t xml:space="preserve">I (Index Test): Modelos de IA Generativa Multimodal (VLMs/LLMs), incluindo GPT-4V, LLaVA-Rad, Claude 3 e variantes de domínio específico.</w:t>
      </w:r>
    </w:p>
    <w:p>
      <w:pPr>
        <w:pStyle w:val="ListParagraph"/>
        <w:numPr>
          <w:ilvl w:val="0"/>
          <w:numId w:val="2"/>
        </w:numPr>
        <w:spacing w:before="0" w:after="120"/>
      </w:pPr>
      <w:r>
        <w:rPr>
          <w:rFonts w:ascii="Arial" w:cs="Arial" w:eastAsia="Arial" w:hAnsi="Arial"/>
          <w:sz w:val="24"/>
          <w:szCs w:val="24"/>
        </w:rPr>
        <w:t xml:space="preserve">R (Reference Standard): Interpretação por radiologistas sêniores (consenso ou double-reading) ou achados de Tomografia Computadorizada (TC).</w:t>
      </w:r>
    </w:p>
    <w:p>
      <w:pPr>
        <w:pStyle w:val="ListParagraph"/>
        <w:numPr>
          <w:ilvl w:val="0"/>
          <w:numId w:val="2"/>
        </w:numPr>
        <w:spacing w:before="0" w:after="120"/>
      </w:pPr>
      <w:r>
        <w:rPr>
          <w:rFonts w:ascii="Arial" w:cs="Arial" w:eastAsia="Arial" w:hAnsi="Arial"/>
          <w:sz w:val="24"/>
          <w:szCs w:val="24"/>
        </w:rPr>
        <w:t xml:space="preserve">T (Target Condition): Detecção de patologias torácicas agudas e crônicas (pneumotórax, tuberculose, derrame e lesão pleural e doenças intersticiais).</w:t>
      </w:r>
    </w:p>
    <w:p>
      <w:pPr>
        <w:spacing w:before="0" w:after="180"/>
        <w:jc w:val="both"/>
      </w:pPr>
      <w:r>
        <w:rPr>
          <w:rFonts w:ascii="Arial" w:cs="Arial" w:eastAsia="Arial" w:hAnsi="Arial"/>
          <w:b w:val="false"/>
          <w:bCs w:val="false"/>
          <w:i w:val="false"/>
          <w:iCs w:val="false"/>
          <w:color w:val="000000"/>
          <w:sz w:val="24"/>
          <w:szCs w:val="24"/>
        </w:rPr>
        <w:t xml:space="preserve">A amostra final englobou 10 estudos independentes, divididos em dois pools de processamento distintos. O Pool Principal (N=7) foi constituído pelos estudos que forneceram dados brutos completos (Raw 2×2), totalizando 103.417 radiografias. O Pool Suplementar (N=3) reuniu estudos com métricas estimadas, sem matrizes de confusão completas, utilizados apenas para análise qualitativa e contextualização narrativa dos achados.</w:t>
      </w:r>
    </w:p>
    <w:p>
      <w:pPr>
        <w:spacing w:before="300" w:after="60"/>
        <w:jc w:val="center"/>
      </w:pPr>
      <w:r>
        <w:rPr>
          <w:rFonts w:ascii="Arial" w:cs="Arial" w:eastAsia="Arial" w:hAnsi="Arial"/>
          <w:b/>
          <w:bCs/>
          <w:sz w:val="22"/>
          <w:szCs w:val="22"/>
        </w:rPr>
        <w:t xml:space="preserve">Figura 1. Fluxograma PRISMA-DTA — Seleção de estudos</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Pipeline de busca (PubMed, SciELO, BVS): 4.000 registros → triagem NLP/TF-IDF → 15 estudos para leitura completa → 10 incluídos → 7 no pool bivariado (Raw 2×2) + 3 no pool suplementar.</w:t>
      </w:r>
    </w:p>
    <w:p>
      <w:pPr>
        <w:pStyle w:val="Heading2"/>
        <w:spacing w:before="280" w:after="160"/>
      </w:pPr>
      <w:r>
        <w:rPr>
          <w:rFonts w:ascii="Arial" w:cs="Arial" w:eastAsia="Arial" w:hAnsi="Arial"/>
          <w:b/>
          <w:bCs/>
          <w:color w:val="2E5591"/>
          <w:sz w:val="26"/>
          <w:szCs w:val="26"/>
        </w:rPr>
        <w:t xml:space="preserve">2.3 Risco de Viés e Aplicabilidade Clínica — QUADAS-2</w:t>
      </w:r>
    </w:p>
    <w:p>
      <w:pPr>
        <w:spacing w:before="0" w:after="180"/>
        <w:jc w:val="both"/>
      </w:pPr>
      <w:r>
        <w:rPr>
          <w:rFonts w:ascii="Arial" w:cs="Arial" w:eastAsia="Arial" w:hAnsi="Arial"/>
          <w:b w:val="false"/>
          <w:bCs w:val="false"/>
          <w:i w:val="false"/>
          <w:iCs w:val="false"/>
          <w:color w:val="000000"/>
          <w:sz w:val="24"/>
          <w:szCs w:val="24"/>
        </w:rPr>
        <w:t xml:space="preserve">A avaliação rigorosa da qualidade metodológica e da aplicabilidade dos estudos primários foi realizada sistematicamente com o instrumento QUADAS-2⁴ (Quality Assessment of Diagnostic Accuracy Studies 2), reconhecido e recomendado pela Cochrane Collaboration. A ferramenta estrutura a avaliação através de quatro domínios metodológicos: (1) seleção de pacientes, (2) teste índice, (3) padrão-ouro e (4) fluxo/tempo. A concordância entre os dois revisores independentes foi quantificada pelo índice Kappa de Cohen, com discordâncias resolvidas por consenso.</w:t>
      </w:r>
    </w:p>
    <w:p>
      <w:pPr>
        <w:spacing w:before="0" w:after="180"/>
        <w:jc w:val="both"/>
      </w:pPr>
      <w:r>
        <w:rPr>
          <w:rFonts w:ascii="Arial" w:cs="Arial" w:eastAsia="Arial" w:hAnsi="Arial"/>
          <w:b w:val="false"/>
          <w:bCs w:val="false"/>
          <w:i w:val="false"/>
          <w:iCs w:val="false"/>
          <w:color w:val="000000"/>
          <w:sz w:val="24"/>
          <w:szCs w:val="24"/>
        </w:rPr>
        <w:t xml:space="preserve">O estudo de Noh et al. (2026)⁵ foi classificado com alto risco de viés geral no domínio de seleção de pacientes, em decorrência da prevalência extrema de 81,0% na amostra — evidência de população altamente selecionada — e do N reduzido (163 exames), predispondo a grave viés de espectro. Este é o único estudo do pool bivariado com alto risco geral pelo QUADAS-2. Adicionalmente, quatro estudos (Ostrovsky 2025,¹⁰ Huang 2023,¹¹ Huang 2025,¹² Gunes 2025¹³) apresentaram risco incerto no domínio Teste Índice, refletindo ausência de descrição do threshold pré-especificado nos artigos originais.</w:t>
      </w:r>
    </w:p>
    <w:p>
      <w:pPr>
        <w:pStyle w:val="Heading2"/>
        <w:spacing w:before="280" w:after="160"/>
      </w:pPr>
      <w:r>
        <w:rPr>
          <w:rFonts w:ascii="Arial" w:cs="Arial" w:eastAsia="Arial" w:hAnsi="Arial"/>
          <w:b/>
          <w:bCs/>
          <w:color w:val="2E5591"/>
          <w:sz w:val="26"/>
          <w:szCs w:val="26"/>
        </w:rPr>
        <w:t xml:space="preserve">2.4 Modelo Estatístico — Bivariado Hierárquico</w:t>
      </w:r>
    </w:p>
    <w:p>
      <w:pPr>
        <w:spacing w:before="0" w:after="180"/>
        <w:jc w:val="both"/>
      </w:pPr>
      <w:r>
        <w:rPr>
          <w:rFonts w:ascii="Arial" w:cs="Arial" w:eastAsia="Arial" w:hAnsi="Arial"/>
          <w:b w:val="false"/>
          <w:bCs w:val="false"/>
          <w:i w:val="false"/>
          <w:iCs w:val="false"/>
          <w:color w:val="000000"/>
          <w:sz w:val="24"/>
          <w:szCs w:val="24"/>
        </w:rPr>
        <w:t xml:space="preserve">Para a síntese quantitativa do Pool Principal (N=7), foi empregado o modelo bivariado hierárquico de efeitos aleatórios proposto por Reitsma et al.⁶ A estimação dos parâmetros foi executada pelo método de Máxima Verossimilhança Restrita (REML), utilizando algoritmo de otimização BFGS. A adoção desta modelagem multivariada é considerada o padrão-ouro em meta-análises de acurácia diagnóstica (DTA), em conformidade com as recomendações do Cochrane Handbook. O modelo estima simultaneamente sensibilidade e especificidade transformadas na escala logit, preservando a correlação negativa natural entre essas estimativas e ajustando para o efeito de limiar (threshold effect). Os intervalos de confiança de 95% foram derivados diretamente da matriz Hessiana inversa.</w:t>
      </w:r>
    </w:p>
    <w:p>
      <w:pPr>
        <w:pStyle w:val="Heading2"/>
        <w:spacing w:before="280" w:after="160"/>
      </w:pPr>
      <w:r>
        <w:rPr>
          <w:rFonts w:ascii="Arial" w:cs="Arial" w:eastAsia="Arial" w:hAnsi="Arial"/>
          <w:b/>
          <w:bCs/>
          <w:color w:val="2E5591"/>
          <w:sz w:val="26"/>
          <w:szCs w:val="26"/>
        </w:rPr>
        <w:t xml:space="preserve">2.5 Tratamentos Matemáticos Específicos</w:t>
      </w:r>
    </w:p>
    <w:p>
      <w:pPr>
        <w:spacing w:before="0" w:after="180"/>
        <w:jc w:val="both"/>
      </w:pPr>
      <w:r>
        <w:rPr>
          <w:rFonts w:ascii="Arial" w:cs="Arial" w:eastAsia="Arial" w:hAnsi="Arial"/>
          <w:b w:val="false"/>
          <w:bCs w:val="false"/>
          <w:i w:val="false"/>
          <w:iCs w:val="false"/>
          <w:color w:val="000000"/>
          <w:sz w:val="24"/>
          <w:szCs w:val="24"/>
        </w:rPr>
        <w:t xml:space="preserve">Para prevenir indefinições decorrentes de denominadores nulos nas transformações logit, aplicou-se a correção de continuidade de Haldane (adição do fator 0,5 a células zeradas das matrizes 2×2). Esta correção foi necessária para o estudo de Noh et al. (2026)⁵ — que apresentou FP=0 (especificidade bruta de 100%) —, resultando em especificidade corrigida de 98,4% (TN+0,5=31,5; FP+0,5=0,5; 31,5/32,0=0,984). Esta correção é metodologicamente justificada e amplamente adotada em meta-análises de acurácia diagnóstica com dados esparsos, podendo introduzir ligeiro alargamento dos intervalos de confiança em amostras pequenas.</w:t>
      </w:r>
    </w:p>
    <w:p>
      <w:pPr>
        <w:pStyle w:val="Heading2"/>
        <w:spacing w:before="280" w:after="160"/>
      </w:pPr>
      <w:r>
        <w:rPr>
          <w:rFonts w:ascii="Arial" w:cs="Arial" w:eastAsia="Arial" w:hAnsi="Arial"/>
          <w:b/>
          <w:bCs/>
          <w:color w:val="2E5591"/>
          <w:sz w:val="26"/>
          <w:szCs w:val="26"/>
        </w:rPr>
        <w:t xml:space="preserve">2.6 Quantificação de Heterogeneidade e Curva SROC</w:t>
      </w:r>
    </w:p>
    <w:p>
      <w:pPr>
        <w:spacing w:before="0" w:after="180"/>
        <w:jc w:val="both"/>
      </w:pPr>
      <w:r>
        <w:rPr>
          <w:rFonts w:ascii="Arial" w:cs="Arial" w:eastAsia="Arial" w:hAnsi="Arial"/>
          <w:b w:val="false"/>
          <w:bCs w:val="false"/>
          <w:i w:val="false"/>
          <w:iCs w:val="false"/>
          <w:color w:val="000000"/>
          <w:sz w:val="24"/>
          <w:szCs w:val="24"/>
        </w:rPr>
        <w:t xml:space="preserve">A heterogeneidade foi quantificada pelo índice I² por três métodos distintos, cujos resultados são reportados para fins de transparência metodológica: (1) Zhou-Dendukuri (I²=61%), recomendado para comparações entre estudos; (2) Holling não-ajustado (I²=85,2–88,8%), sensível a diferenças absolutas; e (3) Holling ajustado por tamanho amostral (I²=2,1–3,5%), preferível quando há estudos com N muito discrepante, como no presente pool. Contudo, é imperativo reconhecer que, dado o número restrito de estudos incluídos no pool principal (N=7), o poder estatístico para detectar e quantificar heterogeneidade é intrinsecamente limitado.¹⁶ Os valores de I² devem ser interpretados com cautela e não constituem evidência definitiva de homogeneidade ou heterogeneidade clínica absoluta. O desempenho diagnóstico global foi sumarizado visualmente pela curva SROC hierárquica, acompanhada pela elipse de confiança de 95%.</w:t>
      </w:r>
    </w:p>
    <w:p>
      <w:pPr>
        <w:pStyle w:val="Heading2"/>
        <w:spacing w:before="280" w:after="160"/>
      </w:pPr>
      <w:r>
        <w:rPr>
          <w:rFonts w:ascii="Arial" w:cs="Arial" w:eastAsia="Arial" w:hAnsi="Arial"/>
          <w:b/>
          <w:bCs/>
          <w:color w:val="2E5591"/>
          <w:sz w:val="26"/>
          <w:szCs w:val="26"/>
        </w:rPr>
        <w:t xml:space="preserve">2.7 Utilidade Clínica — Nomograma de Fagan</w:t>
      </w:r>
    </w:p>
    <w:p>
      <w:pPr>
        <w:spacing w:before="0" w:after="180"/>
        <w:jc w:val="both"/>
      </w:pPr>
      <w:r>
        <w:rPr>
          <w:rFonts w:ascii="Arial" w:cs="Arial" w:eastAsia="Arial" w:hAnsi="Arial"/>
          <w:b w:val="false"/>
          <w:bCs w:val="false"/>
          <w:i w:val="false"/>
          <w:iCs w:val="false"/>
          <w:color w:val="000000"/>
          <w:sz w:val="24"/>
          <w:szCs w:val="24"/>
        </w:rPr>
        <w:t xml:space="preserve">Para traduzir as estimativas de acurácia em utilidade clínica tangível, calcularam-se as Razões de Verossimilhança Positiva (RV+) e Negativa (RV−) derivadas do ponto sumário bivariado. As probabilidades pré-teste foram fixadas em 5% (triagem ambulatorial), 10% (pronto-socorro de baixo risco) e 20% (pronto-socorro de alto risco). Os resultados foram visualizados no Nomograma de Fagan, ferramenta gráfica padrão para comunicação de utilidade diagnóstica em contexto clínico.</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3. Resultados</w:t>
      </w:r>
    </w:p>
    <w:p>
      <w:pPr>
        <w:pStyle w:val="Heading2"/>
        <w:spacing w:before="280" w:after="160"/>
      </w:pPr>
      <w:r>
        <w:rPr>
          <w:rFonts w:ascii="Arial" w:cs="Arial" w:eastAsia="Arial" w:hAnsi="Arial"/>
          <w:b/>
          <w:bCs/>
          <w:color w:val="2E5591"/>
          <w:sz w:val="26"/>
          <w:szCs w:val="26"/>
        </w:rPr>
        <w:t xml:space="preserve">3.1 Características dos Estudos e Risco de Viés</w:t>
      </w:r>
    </w:p>
    <w:p>
      <w:pPr>
        <w:spacing w:before="0" w:after="180"/>
        <w:jc w:val="both"/>
      </w:pPr>
      <w:r>
        <w:rPr>
          <w:rFonts w:ascii="Arial" w:cs="Arial" w:eastAsia="Arial" w:hAnsi="Arial"/>
          <w:b w:val="false"/>
          <w:bCs w:val="false"/>
          <w:i w:val="false"/>
          <w:iCs w:val="false"/>
          <w:color w:val="000000"/>
          <w:sz w:val="24"/>
          <w:szCs w:val="24"/>
        </w:rPr>
        <w:t xml:space="preserve">A estratégia de seleção resultou na inclusão final de 10 estudos primários independentes (Tabela 1), investigando a acurácia de modelos VLMs/LLMs na interpretação de radiografias de tórax. As pesquisas englobaram diversidade substancial de tarefas diagnósticas: identificação de pneumotórax (Hong 2025a,⁷ Huang 2025,¹² Noh 2026⁵), triagem de tuberculose (Hong 2025b⁸), detecção de lesões pleurais (Hong 2025c⁹), diagnóstico de pneumonia (Ostrovsky 2025¹⁰), triagem em departamento de emergência (Huang 2023¹¹), e avaliações de desempenho geral em raio-X de tórax (Gunes 2025,¹³ Lee 2025,¹⁴ Tanno 2025¹⁵).</w:t>
      </w:r>
    </w:p>
    <w:p>
      <w:pPr>
        <w:spacing w:before="0" w:after="180"/>
        <w:jc w:val="both"/>
      </w:pPr>
      <w:r>
        <w:rPr>
          <w:rFonts w:ascii="Arial" w:cs="Arial" w:eastAsia="Arial" w:hAnsi="Arial"/>
          <w:b w:val="false"/>
          <w:bCs w:val="false"/>
          <w:i w:val="false"/>
          <w:iCs w:val="false"/>
          <w:color w:val="000000"/>
          <w:sz w:val="24"/>
          <w:szCs w:val="24"/>
        </w:rPr>
        <w:t xml:space="preserve">A avaliação QUADAS-2 (Figuras 8 e 9) identificou risco incerto no domínio Teste Índice em quatro estudos (Ostrovsky 2025,¹⁰ Huang 2023,¹¹ Huang 2025,¹² Gunes 2025¹³) — refletindo ausência de descrição do threshold pré-especificado — e risco incerto no domínio Padrão de Referência em dois estudos (Lee 2025,¹⁴ Tanno 2025¹⁵). Noh 2026⁵ foi o único estudo com alto risco geral, pelo domínio Seleção de Pacientes (prevalência de 81%). Os três estudos Hong 2025a,⁷ Hong 2025b⁸ e Hong 2025c⁹ apresentaram baixo risco em todos os domínios avaliados, constituindo o subconjunto de evidências de maior qualidade metodológica nesta revisão.</w:t>
      </w:r>
    </w:p>
    <w:p>
      <w:pPr>
        <w:spacing w:before="360" w:after="100"/>
      </w:pPr>
      <w:r>
        <w:rPr>
          <w:rFonts w:ascii="Arial" w:cs="Arial" w:eastAsia="Arial" w:hAnsi="Arial"/>
          <w:b/>
          <w:bCs/>
          <w:sz w:val="22"/>
          <w:szCs w:val="22"/>
        </w:rPr>
        <w:t xml:space="preserve">Tabela 1. Características dos estudos incluídos e desempenho individual</w:t>
      </w:r>
    </w:p>
    <w:tbl>
      <w:tblPr>
        <w:tblW w:type="dxa" w:w="7660"/>
        <w:tblBorders>
          <w:top w:val="single" w:color="auto" w:sz="4"/>
          <w:left w:val="single" w:color="auto" w:sz="4"/>
          <w:bottom w:val="single" w:color="auto" w:sz="4"/>
          <w:right w:val="single" w:color="auto" w:sz="4"/>
          <w:insideH w:val="single" w:color="auto" w:sz="4"/>
          <w:insideV w:val="single" w:color="auto" w:sz="4"/>
        </w:tblBorders>
      </w:tblPr>
      <w:tblGrid>
        <w:gridCol w:w="1960"/>
        <w:gridCol w:w="780"/>
        <w:gridCol w:w="820"/>
        <w:gridCol w:w="900"/>
        <w:gridCol w:w="520"/>
        <w:gridCol w:w="520"/>
        <w:gridCol w:w="660"/>
        <w:gridCol w:w="520"/>
        <w:gridCol w:w="980"/>
      </w:tblGrid>
      <w:tr>
        <w:trPr>
          <w:tblHeader/>
        </w:trPr>
        <w:tc>
          <w:tcPr>
            <w:tcW w:type="dxa" w:w="196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Estudo / Referência</w:t>
            </w:r>
          </w:p>
        </w:tc>
        <w:tc>
          <w:tcPr>
            <w:tcW w:type="dxa" w:w="78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w:t>
            </w:r>
          </w:p>
        </w:tc>
        <w:tc>
          <w:tcPr>
            <w:tcW w:type="dxa" w:w="8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Arquitetura</w:t>
            </w:r>
          </w:p>
        </w:tc>
        <w:tc>
          <w:tcPr>
            <w:tcW w:type="dxa" w:w="9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Condição Clínica</w:t>
            </w:r>
          </w:p>
        </w:tc>
        <w:tc>
          <w:tcPr>
            <w:tcW w:type="dxa" w:w="5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VP</w:t>
            </w:r>
          </w:p>
        </w:tc>
        <w:tc>
          <w:tcPr>
            <w:tcW w:type="dxa" w:w="5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FP</w:t>
            </w:r>
          </w:p>
        </w:tc>
        <w:tc>
          <w:tcPr>
            <w:tcW w:type="dxa" w:w="66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VN</w:t>
            </w:r>
          </w:p>
        </w:tc>
        <w:tc>
          <w:tcPr>
            <w:tcW w:type="dxa" w:w="5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FN</w:t>
            </w:r>
          </w:p>
        </w:tc>
        <w:tc>
          <w:tcPr>
            <w:tcW w:type="dxa" w:w="98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Gold Standard</w:t>
            </w:r>
          </w:p>
        </w:tc>
      </w:tr>
      <w:tr>
        <w:tc>
          <w:tcPr>
            <w:gridSpan w:val="9"/>
            <w:tcBorders>
              <w:top w:val="single" w:color="B0B8C8" w:sz="3"/>
              <w:left w:val="single" w:color="B0B8C8" w:sz="3"/>
              <w:bottom w:val="single" w:color="B0B8C8" w:sz="3"/>
              <w:right w:val="single" w:color="B0B8C8" w:sz="3"/>
            </w:tcBorders>
            <w:shd w:fill="D6E4F7" w:val="clear"/>
            <w:tcMar>
              <w:top w:type="dxa" w:w="80"/>
              <w:left w:type="dxa" w:w="140"/>
              <w:bottom w:type="dxa" w:w="80"/>
              <w:right w:type="dxa" w:w="140"/>
            </w:tcMar>
          </w:tcPr>
          <w:p>
            <w:r>
              <w:rPr>
                <w:rFonts w:ascii="Arial" w:cs="Arial" w:eastAsia="Arial" w:hAnsi="Arial"/>
                <w:b/>
                <w:bCs/>
                <w:color w:val="1F3864"/>
                <w:sz w:val="20"/>
                <w:szCs w:val="20"/>
              </w:rPr>
              <w:t xml:space="preserve">Pool Principal — Raw 2×2  (N=7 estudos · 103.417 exames)</w:t>
            </w:r>
          </w:p>
        </w:tc>
      </w:tr>
      <w:tr>
        <w:tc>
          <w:tcPr>
            <w:tcW w:type="dxa" w:w="19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et al., 2025a⁷</w:t>
            </w:r>
          </w:p>
        </w:tc>
        <w:tc>
          <w:tcPr>
            <w:tcW w:type="dxa" w:w="7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2.145</w:t>
            </w:r>
          </w:p>
        </w:tc>
        <w:tc>
          <w:tcPr>
            <w:tcW w:type="dxa" w:w="8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VLM</w:t>
            </w:r>
          </w:p>
        </w:tc>
        <w:tc>
          <w:tcPr>
            <w:tcW w:type="dxa" w:w="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Pneumotórax</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181</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142</w:t>
            </w:r>
          </w:p>
        </w:tc>
        <w:tc>
          <w:tcPr>
            <w:tcW w:type="dxa" w:w="6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1.813</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9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 radiologistas</w:t>
            </w:r>
          </w:p>
        </w:tc>
      </w:tr>
      <w:tr>
        <w:tc>
          <w:tcPr>
            <w:tcW w:type="dxa" w:w="196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et al., 2025b⁸</w:t>
            </w:r>
          </w:p>
        </w:tc>
        <w:tc>
          <w:tcPr>
            <w:tcW w:type="dxa" w:w="78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800</w:t>
            </w:r>
          </w:p>
        </w:tc>
        <w:tc>
          <w:tcPr>
            <w:tcW w:type="dxa" w:w="8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VLM</w:t>
            </w:r>
          </w:p>
        </w:tc>
        <w:tc>
          <w:tcPr>
            <w:tcW w:type="dxa" w:w="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Tuberculose</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360</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56</w:t>
            </w:r>
          </w:p>
        </w:tc>
        <w:tc>
          <w:tcPr>
            <w:tcW w:type="dxa" w:w="66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366</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18</w:t>
            </w:r>
          </w:p>
        </w:tc>
        <w:tc>
          <w:tcPr>
            <w:tcW w:type="dxa" w:w="98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Clínico + 2 rad.</w:t>
            </w:r>
          </w:p>
        </w:tc>
      </w:tr>
      <w:tr>
        <w:tc>
          <w:tcPr>
            <w:tcW w:type="dxa" w:w="19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et al., 2025c⁹</w:t>
            </w:r>
          </w:p>
        </w:tc>
        <w:tc>
          <w:tcPr>
            <w:tcW w:type="dxa" w:w="7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758</w:t>
            </w:r>
          </w:p>
        </w:tc>
        <w:tc>
          <w:tcPr>
            <w:tcW w:type="dxa" w:w="8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VLM</w:t>
            </w:r>
          </w:p>
        </w:tc>
        <w:tc>
          <w:tcPr>
            <w:tcW w:type="dxa" w:w="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Lesão Pleural</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234</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6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487</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9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 radiologistas</w:t>
            </w:r>
          </w:p>
        </w:tc>
      </w:tr>
      <w:tr>
        <w:tc>
          <w:tcPr>
            <w:tcW w:type="dxa" w:w="196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Ostrovsky, 2025¹⁰</w:t>
            </w:r>
          </w:p>
        </w:tc>
        <w:tc>
          <w:tcPr>
            <w:tcW w:type="dxa" w:w="78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1.400</w:t>
            </w:r>
          </w:p>
        </w:tc>
        <w:tc>
          <w:tcPr>
            <w:tcW w:type="dxa" w:w="8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VLM</w:t>
            </w:r>
          </w:p>
        </w:tc>
        <w:tc>
          <w:tcPr>
            <w:tcW w:type="dxa" w:w="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Pneumonia</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141</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77</w:t>
            </w:r>
          </w:p>
        </w:tc>
        <w:tc>
          <w:tcPr>
            <w:tcW w:type="dxa" w:w="66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1.138</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44</w:t>
            </w:r>
          </w:p>
        </w:tc>
        <w:tc>
          <w:tcPr>
            <w:tcW w:type="dxa" w:w="98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Rad. presenciais</w:t>
            </w:r>
          </w:p>
        </w:tc>
      </w:tr>
      <w:tr>
        <w:tc>
          <w:tcPr>
            <w:tcW w:type="dxa" w:w="19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Huang et al., 2023¹¹</w:t>
            </w:r>
          </w:p>
        </w:tc>
        <w:tc>
          <w:tcPr>
            <w:tcW w:type="dxa" w:w="7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500</w:t>
            </w:r>
          </w:p>
        </w:tc>
        <w:tc>
          <w:tcPr>
            <w:tcW w:type="dxa" w:w="8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LLM</w:t>
            </w:r>
          </w:p>
        </w:tc>
        <w:tc>
          <w:tcPr>
            <w:tcW w:type="dxa" w:w="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Emergência Geral</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139</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331</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9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Rad. presencial</w:t>
            </w:r>
          </w:p>
        </w:tc>
      </w:tr>
      <w:tr>
        <w:tc>
          <w:tcPr>
            <w:tcW w:type="dxa" w:w="196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Huang et al., 2025¹²</w:t>
            </w:r>
          </w:p>
        </w:tc>
        <w:tc>
          <w:tcPr>
            <w:tcW w:type="dxa" w:w="78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97.651</w:t>
            </w:r>
          </w:p>
        </w:tc>
        <w:tc>
          <w:tcPr>
            <w:tcW w:type="dxa" w:w="8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LLM</w:t>
            </w:r>
          </w:p>
        </w:tc>
        <w:tc>
          <w:tcPr>
            <w:tcW w:type="dxa" w:w="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Pneumotórax</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24</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22</w:t>
            </w:r>
          </w:p>
        </w:tc>
        <w:tc>
          <w:tcPr>
            <w:tcW w:type="dxa" w:w="66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97.596</w:t>
            </w:r>
          </w:p>
        </w:tc>
        <w:tc>
          <w:tcPr>
            <w:tcW w:type="dxa" w:w="52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98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Laudo radiologista</w:t>
            </w:r>
          </w:p>
        </w:tc>
      </w:tr>
      <w:tr>
        <w:tc>
          <w:tcPr>
            <w:tcW w:type="dxa" w:w="19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Noh et al., 2026⁵</w:t>
            </w:r>
          </w:p>
        </w:tc>
        <w:tc>
          <w:tcPr>
            <w:tcW w:type="dxa" w:w="7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163</w:t>
            </w:r>
          </w:p>
        </w:tc>
        <w:tc>
          <w:tcPr>
            <w:tcW w:type="dxa" w:w="8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VLM*</w:t>
            </w:r>
          </w:p>
        </w:tc>
        <w:tc>
          <w:tcPr>
            <w:tcW w:type="dxa" w:w="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Pneumotórax</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107</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w:t>
            </w:r>
          </w:p>
        </w:tc>
        <w:tc>
          <w:tcPr>
            <w:tcW w:type="dxa" w:w="6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31</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9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Radiologista</w:t>
            </w:r>
          </w:p>
        </w:tc>
      </w:tr>
      <w:tr>
        <w:tc>
          <w:tcPr>
            <w:gridSpan w:val="9"/>
            <w:tcBorders>
              <w:top w:val="single" w:color="B0B8C8" w:sz="3"/>
              <w:left w:val="single" w:color="B0B8C8" w:sz="3"/>
              <w:bottom w:val="single" w:color="B0B8C8" w:sz="3"/>
              <w:right w:val="single" w:color="B0B8C8" w:sz="3"/>
            </w:tcBorders>
            <w:shd w:fill="E2F2E2" w:val="clear"/>
            <w:tcMar>
              <w:top w:type="dxa" w:w="80"/>
              <w:left w:type="dxa" w:w="140"/>
              <w:bottom w:type="dxa" w:w="80"/>
              <w:right w:type="dxa" w:w="140"/>
            </w:tcMar>
          </w:tcPr>
          <w:p>
            <w:r>
              <w:rPr>
                <w:rFonts w:ascii="Arial" w:cs="Arial" w:eastAsia="Arial" w:hAnsi="Arial"/>
                <w:b/>
                <w:bCs/>
                <w:color w:val="275218"/>
                <w:sz w:val="20"/>
                <w:szCs w:val="20"/>
              </w:rPr>
              <w:t xml:space="preserve">Pool Suplementar — Métricas Estimadas  (N=3 estudos · sem Raw 2×2)</w:t>
            </w:r>
          </w:p>
        </w:tc>
      </w:tr>
      <w:tr>
        <w:tc>
          <w:tcPr>
            <w:tcW w:type="dxa" w:w="19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54035"/>
                <w:sz w:val="20"/>
                <w:szCs w:val="20"/>
              </w:rPr>
              <w:t xml:space="preserve">Gunes &amp; Cesur, 2025¹³</w:t>
            </w:r>
          </w:p>
        </w:tc>
        <w:tc>
          <w:tcPr>
            <w:tcW w:type="dxa" w:w="7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124</w:t>
            </w:r>
          </w:p>
        </w:tc>
        <w:tc>
          <w:tcPr>
            <w:tcW w:type="dxa" w:w="8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LLM</w:t>
            </w:r>
          </w:p>
        </w:tc>
        <w:tc>
          <w:tcPr>
            <w:tcW w:type="dxa" w:w="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Tórax geral</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6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9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54035"/>
                <w:sz w:val="20"/>
                <w:szCs w:val="20"/>
              </w:rPr>
              <w:t xml:space="preserve">Radiologista</w:t>
            </w:r>
          </w:p>
        </w:tc>
      </w:tr>
      <w:tr>
        <w:tc>
          <w:tcPr>
            <w:tcW w:type="dxa" w:w="196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54035"/>
                <w:sz w:val="20"/>
                <w:szCs w:val="20"/>
              </w:rPr>
              <w:t xml:space="preserve">Lee et al., 2025¹⁴</w:t>
            </w:r>
          </w:p>
        </w:tc>
        <w:tc>
          <w:tcPr>
            <w:tcW w:type="dxa" w:w="78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3.689</w:t>
            </w:r>
          </w:p>
        </w:tc>
        <w:tc>
          <w:tcPr>
            <w:tcW w:type="dxa" w:w="82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VLM</w:t>
            </w:r>
          </w:p>
        </w:tc>
        <w:tc>
          <w:tcPr>
            <w:tcW w:type="dxa" w:w="90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Raio-X geral</w:t>
            </w:r>
          </w:p>
        </w:tc>
        <w:tc>
          <w:tcPr>
            <w:tcW w:type="dxa" w:w="52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52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66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52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980"/>
            <w:gridSpan w:val="1"/>
            <w:tcBorders>
              <w:top w:val="single" w:color="B0B8C8" w:sz="3"/>
              <w:left w:val="single" w:color="B0B8C8" w:sz="3"/>
              <w:bottom w:val="single" w:color="B0B8C8" w:sz="3"/>
              <w:right w:val="single" w:color="B0B8C8" w:sz="3"/>
            </w:tcBorders>
            <w:shd w:fill="F0FA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54035"/>
                <w:sz w:val="20"/>
                <w:szCs w:val="20"/>
              </w:rPr>
              <w:t xml:space="preserve">Radiologista</w:t>
            </w:r>
          </w:p>
        </w:tc>
      </w:tr>
      <w:tr>
        <w:tc>
          <w:tcPr>
            <w:tcW w:type="dxa" w:w="19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54035"/>
                <w:sz w:val="20"/>
                <w:szCs w:val="20"/>
              </w:rPr>
              <w:t xml:space="preserve">Tanno et al., 2025¹⁵</w:t>
            </w:r>
          </w:p>
        </w:tc>
        <w:tc>
          <w:tcPr>
            <w:tcW w:type="dxa" w:w="7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606</w:t>
            </w:r>
          </w:p>
        </w:tc>
        <w:tc>
          <w:tcPr>
            <w:tcW w:type="dxa" w:w="8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LLM</w:t>
            </w:r>
          </w:p>
        </w:tc>
        <w:tc>
          <w:tcPr>
            <w:tcW w:type="dxa" w:w="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Raio-X geral</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66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52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354035"/>
                <w:sz w:val="20"/>
                <w:szCs w:val="20"/>
              </w:rPr>
              <w:t xml:space="preserve">—</w:t>
            </w:r>
          </w:p>
        </w:tc>
        <w:tc>
          <w:tcPr>
            <w:tcW w:type="dxa" w:w="98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54035"/>
                <w:sz w:val="20"/>
                <w:szCs w:val="20"/>
              </w:rPr>
              <w:t xml:space="preserve">Radiologista</w:t>
            </w:r>
          </w:p>
        </w:tc>
      </w:tr>
    </w:tbl>
    <w:p>
      <w:pPr>
        <w:spacing w:before="80" w:after="280"/>
      </w:pPr>
      <w:r>
        <w:rPr>
          <w:rFonts w:ascii="Arial" w:cs="Arial" w:eastAsia="Arial" w:hAnsi="Arial"/>
          <w:i/>
          <w:iCs/>
          <w:color w:val="505050"/>
          <w:sz w:val="20"/>
          <w:szCs w:val="20"/>
        </w:rPr>
        <w:t xml:space="preserve">VP=Verdadeiros Positivos; FP=Falsos Positivos; VN=Verdadeiros Negativos; FN=Falsos Negativos; GS=Gold Standard. *Noh 2026:⁵ FP=0 → correção de continuidade de Haldane aplicada (Spec bruta=100,0%; Spec corrigida=98,4%). Huang 2025¹² incluído no bivariado com Raw 2×2 disponíveis; Gunes, Lee e Tanno 2025 no pool suplementar apenas.</w:t>
      </w:r>
    </w:p>
    <w:p>
      <w:pPr>
        <w:pStyle w:val="Heading2"/>
        <w:spacing w:before="280" w:after="160"/>
      </w:pPr>
      <w:r>
        <w:rPr>
          <w:rFonts w:ascii="Arial" w:cs="Arial" w:eastAsia="Arial" w:hAnsi="Arial"/>
          <w:b/>
          <w:bCs/>
          <w:color w:val="2E5591"/>
          <w:sz w:val="26"/>
          <w:szCs w:val="26"/>
        </w:rPr>
        <w:t xml:space="preserve">3.2 Estatísticas do Pool Principal (N=7)</w:t>
      </w:r>
    </w:p>
    <w:p>
      <w:pPr>
        <w:spacing w:before="0" w:after="180"/>
        <w:jc w:val="both"/>
      </w:pPr>
      <w:r>
        <w:rPr>
          <w:rFonts w:ascii="Arial" w:cs="Arial" w:eastAsia="Arial" w:hAnsi="Arial"/>
          <w:b w:val="false"/>
          <w:bCs w:val="false"/>
          <w:i w:val="false"/>
          <w:iCs w:val="false"/>
          <w:color w:val="000000"/>
          <w:sz w:val="24"/>
          <w:szCs w:val="24"/>
        </w:rPr>
        <w:t xml:space="preserve">A síntese quantitativa primária englobou 103.417 radiografias de tórax provenientes de 7 estudos. Os resultados sumarizados da meta-análise bivariada hierárquica (Tabela 2) demonstraram as seguintes métricas de desempenho:</w:t>
      </w:r>
    </w:p>
    <w:p>
      <w:pPr>
        <w:pStyle w:val="ListParagraph"/>
        <w:numPr>
          <w:ilvl w:val="0"/>
          <w:numId w:val="2"/>
        </w:numPr>
        <w:spacing w:before="0" w:after="120"/>
      </w:pPr>
      <w:r>
        <w:rPr>
          <w:rFonts w:ascii="Arial" w:cs="Arial" w:eastAsia="Arial" w:hAnsi="Arial"/>
          <w:sz w:val="24"/>
          <w:szCs w:val="24"/>
        </w:rPr>
        <w:t xml:space="preserve">Sensibilidade Agrupada: 87,9% (IC 95%: 78,6–93,5%) — boa capacidade de detectar patologias torácicas em cenários de triagem.</w:t>
      </w:r>
    </w:p>
    <w:p>
      <w:pPr>
        <w:pStyle w:val="ListParagraph"/>
        <w:numPr>
          <w:ilvl w:val="0"/>
          <w:numId w:val="2"/>
        </w:numPr>
        <w:spacing w:before="0" w:after="120"/>
      </w:pPr>
      <w:r>
        <w:rPr>
          <w:rFonts w:ascii="Arial" w:cs="Arial" w:eastAsia="Arial" w:hAnsi="Arial"/>
          <w:sz w:val="24"/>
          <w:szCs w:val="24"/>
        </w:rPr>
        <w:t xml:space="preserve">Especificidade Agrupada: 97,9% (IC 95%: 89,7–99,6%) — excelente capacidade de classificar exames normais, minimizando falsos positivos e reduzindo o alarmismo diagnóstico.</w:t>
      </w:r>
    </w:p>
    <w:p>
      <w:pPr>
        <w:pStyle w:val="ListParagraph"/>
        <w:numPr>
          <w:ilvl w:val="0"/>
          <w:numId w:val="2"/>
        </w:numPr>
        <w:spacing w:before="0" w:after="120"/>
      </w:pPr>
      <w:r>
        <w:rPr>
          <w:rFonts w:ascii="Arial" w:cs="Arial" w:eastAsia="Arial" w:hAnsi="Arial"/>
          <w:sz w:val="24"/>
          <w:szCs w:val="24"/>
        </w:rPr>
        <w:t xml:space="preserve">AUC SROC: 0,955 — precisão diagnóstica excepcional, indicando que os modelos discriminam corretamente casos positivos de negativos com elevado grau de acurácia global.</w:t>
      </w:r>
    </w:p>
    <w:p>
      <w:pPr>
        <w:pStyle w:val="ListParagraph"/>
        <w:numPr>
          <w:ilvl w:val="0"/>
          <w:numId w:val="2"/>
        </w:numPr>
        <w:spacing w:before="0" w:after="120"/>
      </w:pPr>
      <w:r>
        <w:rPr>
          <w:rFonts w:ascii="Arial" w:cs="Arial" w:eastAsia="Arial" w:hAnsi="Arial"/>
          <w:sz w:val="24"/>
          <w:szCs w:val="24"/>
        </w:rPr>
        <w:t xml:space="preserve">RV+: 41,83 — excelente poder de confirmação diagnóstica; laudo positivo gerado pela IA eleva drasticamente a probabilidade pós-teste de doença.</w:t>
      </w:r>
    </w:p>
    <w:p>
      <w:pPr>
        <w:pStyle w:val="ListParagraph"/>
        <w:numPr>
          <w:ilvl w:val="0"/>
          <w:numId w:val="2"/>
        </w:numPr>
        <w:spacing w:before="0" w:after="120"/>
      </w:pPr>
      <w:r>
        <w:rPr>
          <w:rFonts w:ascii="Arial" w:cs="Arial" w:eastAsia="Arial" w:hAnsi="Arial"/>
          <w:sz w:val="24"/>
          <w:szCs w:val="24"/>
        </w:rPr>
        <w:t xml:space="preserve">RV−: 0,124 — excelente poder de descarte diagnóstico; laudo negativo reduz a probabilidade de doença a patamares mínimos clinicamente seguros.</w:t>
      </w:r>
    </w:p>
    <w:p>
      <w:pPr>
        <w:spacing w:before="360" w:after="100"/>
      </w:pPr>
      <w:r>
        <w:rPr>
          <w:rFonts w:ascii="Arial" w:cs="Arial" w:eastAsia="Arial" w:hAnsi="Arial"/>
          <w:b/>
          <w:bCs/>
          <w:sz w:val="22"/>
          <w:szCs w:val="22"/>
        </w:rPr>
        <w:t xml:space="preserve">Tabela 2. Resultados meta-analíticos agrupados (Pool Principal N=7)</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600"/>
      </w:tblGrid>
      <w:tr>
        <w:trPr>
          <w:tblHeader/>
        </w:trPr>
        <w:tc>
          <w:tcPr>
            <w:tcW w:type="dxa" w:w="33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Parâmetro</w:t>
            </w:r>
          </w:p>
        </w:tc>
        <w:tc>
          <w:tcPr>
            <w:tcW w:type="dxa" w:w="19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Estimativa</w:t>
            </w:r>
          </w:p>
        </w:tc>
        <w:tc>
          <w:tcPr>
            <w:tcW w:type="dxa" w:w="36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IC 95% / Comentário</w:t>
            </w:r>
          </w:p>
        </w:tc>
      </w:tr>
      <w:tr>
        <w:tc>
          <w:tcPr>
            <w:tcW w:type="dxa" w:w="33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Sensibilidade Agrupada</w:t>
            </w:r>
          </w:p>
        </w:tc>
        <w:tc>
          <w:tcPr>
            <w:tcW w:type="dxa" w:w="1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87,9%</w:t>
            </w:r>
          </w:p>
        </w:tc>
        <w:tc>
          <w:tcPr>
            <w:tcW w:type="dxa" w:w="36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78,6% – 93,5%</w:t>
            </w:r>
          </w:p>
        </w:tc>
      </w:tr>
      <w:tr>
        <w:tc>
          <w:tcPr>
            <w:tcW w:type="dxa" w:w="33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Especificidade Agrupada</w:t>
            </w:r>
          </w:p>
        </w:tc>
        <w:tc>
          <w:tcPr>
            <w:tcW w:type="dxa" w:w="1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97,9%</w:t>
            </w:r>
          </w:p>
        </w:tc>
        <w:tc>
          <w:tcPr>
            <w:tcW w:type="dxa" w:w="36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89,7% – 99,6%</w:t>
            </w:r>
          </w:p>
        </w:tc>
      </w:tr>
      <w:tr>
        <w:tc>
          <w:tcPr>
            <w:tcW w:type="dxa" w:w="33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AUC SROC</w:t>
            </w:r>
          </w:p>
        </w:tc>
        <w:tc>
          <w:tcPr>
            <w:tcW w:type="dxa" w:w="1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0,955</w:t>
            </w:r>
          </w:p>
        </w:tc>
        <w:tc>
          <w:tcPr>
            <w:tcW w:type="dxa" w:w="36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Precisão diagnóstica excepcional (AUC &gt; 0,95)</w:t>
            </w:r>
          </w:p>
        </w:tc>
      </w:tr>
      <w:tr>
        <w:tc>
          <w:tcPr>
            <w:tcW w:type="dxa" w:w="33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I² Sensibilidade (Zhou-Dendukuri)</w:t>
            </w:r>
          </w:p>
        </w:tc>
        <w:tc>
          <w:tcPr>
            <w:tcW w:type="dxa" w:w="1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61%</w:t>
            </w:r>
          </w:p>
        </w:tc>
        <w:tc>
          <w:tcPr>
            <w:tcW w:type="dxa" w:w="36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Heterogeneidade moderada</w:t>
            </w:r>
          </w:p>
        </w:tc>
      </w:tr>
      <w:tr>
        <w:tc>
          <w:tcPr>
            <w:tcW w:type="dxa" w:w="33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I² Especificidade (Holling não-ajustado)</w:t>
            </w:r>
          </w:p>
        </w:tc>
        <w:tc>
          <w:tcPr>
            <w:tcW w:type="dxa" w:w="1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85,2–88,8%</w:t>
            </w:r>
          </w:p>
        </w:tc>
        <w:tc>
          <w:tcPr>
            <w:tcW w:type="dxa" w:w="36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Heterogeneidade elevada</w:t>
            </w:r>
          </w:p>
        </w:tc>
      </w:tr>
      <w:tr>
        <w:tc>
          <w:tcPr>
            <w:tcW w:type="dxa" w:w="33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I² (Holling ajustado por N amostral)</w:t>
            </w:r>
          </w:p>
        </w:tc>
        <w:tc>
          <w:tcPr>
            <w:tcW w:type="dxa" w:w="1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2,1–3,5%</w:t>
            </w:r>
          </w:p>
        </w:tc>
        <w:tc>
          <w:tcPr>
            <w:tcW w:type="dxa" w:w="36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Baixa após ajuste por dominância amostral</w:t>
            </w:r>
          </w:p>
        </w:tc>
      </w:tr>
      <w:tr>
        <w:tc>
          <w:tcPr>
            <w:tcW w:type="dxa" w:w="33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RV Positiva (LR+)</w:t>
            </w:r>
          </w:p>
        </w:tc>
        <w:tc>
          <w:tcPr>
            <w:tcW w:type="dxa" w:w="1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41,83</w:t>
            </w:r>
          </w:p>
        </w:tc>
        <w:tc>
          <w:tcPr>
            <w:tcW w:type="dxa" w:w="36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Excelente poder de confirmação diagnóstica</w:t>
            </w:r>
          </w:p>
        </w:tc>
      </w:tr>
      <w:tr>
        <w:tc>
          <w:tcPr>
            <w:tcW w:type="dxa" w:w="33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RV Negativa (LR−)</w:t>
            </w:r>
          </w:p>
        </w:tc>
        <w:tc>
          <w:tcPr>
            <w:tcW w:type="dxa" w:w="1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0,124</w:t>
            </w:r>
          </w:p>
        </w:tc>
        <w:tc>
          <w:tcPr>
            <w:tcW w:type="dxa" w:w="36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Excelente poder de descarte diagnóstico</w:t>
            </w:r>
          </w:p>
        </w:tc>
      </w:tr>
      <w:tr>
        <w:tc>
          <w:tcPr>
            <w:tcW w:type="dxa" w:w="33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 Estudos (pool bivariado)</w:t>
            </w:r>
          </w:p>
        </w:tc>
        <w:tc>
          <w:tcPr>
            <w:tcW w:type="dxa" w:w="19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6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Estudos com Raw 2×2 completo</w:t>
            </w:r>
          </w:p>
        </w:tc>
      </w:tr>
      <w:tr>
        <w:tc>
          <w:tcPr>
            <w:tcW w:type="dxa" w:w="33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 Total Participantes</w:t>
            </w:r>
          </w:p>
        </w:tc>
        <w:tc>
          <w:tcPr>
            <w:tcW w:type="dxa" w:w="19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103.417</w:t>
            </w:r>
          </w:p>
        </w:tc>
        <w:tc>
          <w:tcPr>
            <w:tcW w:type="dxa" w:w="36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Exames no pool bivariado</w:t>
            </w:r>
          </w:p>
        </w:tc>
      </w:tr>
    </w:tbl>
    <w:p>
      <w:pPr>
        <w:spacing w:before="80" w:after="280"/>
      </w:pPr>
      <w:r>
        <w:rPr>
          <w:rFonts w:ascii="Arial" w:cs="Arial" w:eastAsia="Arial" w:hAnsi="Arial"/>
          <w:i/>
          <w:iCs/>
          <w:color w:val="505050"/>
          <w:sz w:val="20"/>
          <w:szCs w:val="20"/>
        </w:rPr>
        <w:t xml:space="preserve">Modelo: Bivariado de Reitsma,⁶ estimado por REML. I² reportado por três métodos para transparência metodológica.¹⁶</w:t>
      </w:r>
    </w:p>
    <w:p>
      <w:pPr>
        <w:spacing w:before="300" w:after="60"/>
        <w:jc w:val="center"/>
      </w:pPr>
      <w:r>
        <w:rPr>
          <w:rFonts w:ascii="Arial" w:cs="Arial" w:eastAsia="Arial" w:hAnsi="Arial"/>
          <w:b/>
          <w:bCs/>
          <w:sz w:val="22"/>
          <w:szCs w:val="22"/>
        </w:rPr>
        <w:t xml:space="preserve">Figura 2. Forest Plot — Sensibilidade (N=7, Raw 2×2)</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Ponto sumário pooled: 87,9% (IC 95%: 78,6–93,5%). I²=61% (Zhou-Dendukuri). Eixo X: 0,55–1,00. Quadrados proporcionais ao peso de cada estudo. Valores apresentados arredondados a 2 casas decimais.</w:t>
      </w:r>
    </w:p>
    <w:p>
      <w:pPr>
        <w:spacing w:before="300" w:after="60"/>
        <w:jc w:val="center"/>
      </w:pPr>
      <w:r>
        <w:rPr>
          <w:rFonts w:ascii="Arial" w:cs="Arial" w:eastAsia="Arial" w:hAnsi="Arial"/>
          <w:b/>
          <w:bCs/>
          <w:sz w:val="22"/>
          <w:szCs w:val="22"/>
        </w:rPr>
        <w:t xml:space="preserve">Figura 3. Forest Plot — Especificidade (N=7, Raw 2×2)</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Ponto sumário pooled: 97,9% (IC 95%: 89,7–99,6%). I²=85,2% (Holling não-ajustado). Eixo truncado em 0,70. Noh 2026:⁵ valor apresentado=0,98 corresponde à especificidade corrigida por Haldane (98,4%), não ao valor bruto (100,0%). Huang 2025:¹² Spec bruta=99,97%.</w:t>
      </w:r>
    </w:p>
    <w:p>
      <w:pPr>
        <w:spacing w:before="300" w:after="60"/>
        <w:jc w:val="center"/>
      </w:pPr>
      <w:r>
        <w:rPr>
          <w:rFonts w:ascii="Arial" w:cs="Arial" w:eastAsia="Arial" w:hAnsi="Arial"/>
          <w:b/>
          <w:bCs/>
          <w:sz w:val="22"/>
          <w:szCs w:val="22"/>
        </w:rPr>
        <w:t xml:space="preserve">Figura 4. Curva SROC Hierárquica — Pool Principal (N=7)</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AUC=0,955. Ponto sumário (losango azul): Sens=87,9%; Spec=97,9%. Elipse = confiança 95%. Eixo X: Taxa de Falsos Positivos. Modelo: Reitsma REML.⁶</w:t>
      </w:r>
    </w:p>
    <w:p>
      <w:pPr>
        <w:pStyle w:val="Heading2"/>
        <w:spacing w:before="280" w:after="160"/>
      </w:pPr>
      <w:r>
        <w:rPr>
          <w:rFonts w:ascii="Arial" w:cs="Arial" w:eastAsia="Arial" w:hAnsi="Arial"/>
          <w:b/>
          <w:bCs/>
          <w:color w:val="2E5591"/>
          <w:sz w:val="26"/>
          <w:szCs w:val="26"/>
        </w:rPr>
        <w:t xml:space="preserve">3.3 Análise de Sensibilidade</w:t>
      </w:r>
    </w:p>
    <w:p>
      <w:pPr>
        <w:spacing w:before="0" w:after="180"/>
        <w:jc w:val="both"/>
      </w:pPr>
      <w:r>
        <w:rPr>
          <w:rFonts w:ascii="Arial" w:cs="Arial" w:eastAsia="Arial" w:hAnsi="Arial"/>
          <w:b w:val="false"/>
          <w:bCs w:val="false"/>
          <w:i w:val="false"/>
          <w:iCs w:val="false"/>
          <w:color w:val="000000"/>
          <w:sz w:val="24"/>
          <w:szCs w:val="24"/>
        </w:rPr>
        <w:t xml:space="preserve">A análise de sensibilidade pré-especificada com a remoção do estudo de Noh et al. (2026)⁵ — único ensaio classificado com alto risco de viés geral pelo QUADAS-2 — demonstrou resultados robustos, com estimativas estáveis confirmando que os resultados principais não são artefatos da inclusão deste estudo com características atípicas de seleção populacional.</w:t>
      </w:r>
    </w:p>
    <w:p>
      <w:pPr>
        <w:spacing w:before="0" w:after="180"/>
        <w:jc w:val="both"/>
      </w:pPr>
      <w:r>
        <w:rPr>
          <w:rFonts w:ascii="Arial" w:cs="Arial" w:eastAsia="Arial" w:hAnsi="Arial"/>
          <w:b w:val="false"/>
          <w:bCs w:val="false"/>
          <w:i w:val="false"/>
          <w:iCs w:val="false"/>
          <w:color w:val="000000"/>
          <w:sz w:val="24"/>
          <w:szCs w:val="24"/>
        </w:rPr>
        <w:t xml:space="preserve">Uma segunda análise de sensibilidade foi conduzida para testar a independência das estimativas em relação ao cluster de estudos do mesmo grupo de pesquisa (Hong et al., 3 estudos). A exclusão dos estudos Hong 2025b⁸ e Hong 2025c,⁹ mantendo apenas estudos de grupos independentes, confirmou a robustez das estimativas agrupadas, demonstrando que os resultados não são artefatos da concentração de publicações de um único grupo de pesquisa.</w:t>
      </w:r>
    </w:p>
    <w:p>
      <w:pPr>
        <w:pStyle w:val="Heading2"/>
        <w:spacing w:before="280" w:after="160"/>
      </w:pPr>
      <w:r>
        <w:rPr>
          <w:rFonts w:ascii="Arial" w:cs="Arial" w:eastAsia="Arial" w:hAnsi="Arial"/>
          <w:b/>
          <w:bCs/>
          <w:color w:val="2E5591"/>
          <w:sz w:val="26"/>
          <w:szCs w:val="26"/>
        </w:rPr>
        <w:t xml:space="preserve">3.4 Heterogeneidade</w:t>
      </w:r>
    </w:p>
    <w:p>
      <w:pPr>
        <w:spacing w:before="0" w:after="180"/>
        <w:jc w:val="both"/>
      </w:pPr>
      <w:r>
        <w:rPr>
          <w:rFonts w:ascii="Arial" w:cs="Arial" w:eastAsia="Arial" w:hAnsi="Arial"/>
          <w:b w:val="false"/>
          <w:bCs w:val="false"/>
          <w:i w:val="false"/>
          <w:iCs w:val="false"/>
          <w:color w:val="000000"/>
          <w:sz w:val="24"/>
          <w:szCs w:val="24"/>
        </w:rPr>
        <w:t xml:space="preserve">A heterogeneidade moderada detectada pelo índice I²=61% (Zhou-Dendukuri) é esperada e clinicamente compreensível dado o agrupamento de estudos com condições diagnósticas distintas (pneumotórax, tuberculose, pneumonia, emergência geral) e arquiteturas de IA heterogêneas (VLM vs LLM). Os valores de I² pelo método Holling não-ajustado (85,2–88,8%) confirmam heterogeneidade relevante. O Holling ajustado por tamanho amostral (2,1–3,5%) reflete o impacto dominante de Huang 2025¹² (N=97.651, representando 94,4% do N total), que possui prevalência extremamente baixa (0,03%) e distorce as estimativas de heterogeneidade não ajustadas.</w:t>
      </w:r>
    </w:p>
    <w:p>
      <w:pPr>
        <w:spacing w:before="0" w:after="180"/>
        <w:jc w:val="both"/>
      </w:pPr>
      <w:r>
        <w:rPr>
          <w:rFonts w:ascii="Arial" w:cs="Arial" w:eastAsia="Arial" w:hAnsi="Arial"/>
          <w:b w:val="false"/>
          <w:bCs w:val="false"/>
          <w:i w:val="false"/>
          <w:iCs w:val="false"/>
          <w:color w:val="000000"/>
          <w:sz w:val="24"/>
          <w:szCs w:val="24"/>
        </w:rPr>
        <w:t xml:space="preserve">É imperativo reconhecer que Huang et al. (2025)¹² representa 94,4% do N total do pool bivariado. Sua prevalência de 0,03% e especificidade de 99,97% domina as estimativas de especificidade agrupada. Conforme demonstrado por Takwoingi et al.,¹⁶ a quantificação de variância em pools com número reduzido de estudos primários (N ≤ 7) possui poder estatístico intrinsecamente baixo, de modo que os índices de heterogeneidade devem ser interpretados com a devida cautela metodológica.</w:t>
      </w:r>
    </w:p>
    <w:p>
      <w:pPr>
        <w:spacing w:before="300" w:after="60"/>
        <w:jc w:val="center"/>
      </w:pPr>
      <w:r>
        <w:rPr>
          <w:rFonts w:ascii="Arial" w:cs="Arial" w:eastAsia="Arial" w:hAnsi="Arial"/>
          <w:b/>
          <w:bCs/>
          <w:sz w:val="22"/>
          <w:szCs w:val="22"/>
        </w:rPr>
        <w:t xml:space="preserve">Figura 5. Funnel Plot — Avaliação de Viés de Publicação</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Teste de Egger (p=0,442). N=7 estudos — poder estatístico limitado para detectar assimetria.¹⁶ N mínimo recomendado para funnel plot: 10 estudos.</w:t>
      </w:r>
    </w:p>
    <w:p>
      <w:pPr>
        <w:pStyle w:val="Heading2"/>
        <w:spacing w:before="280" w:after="160"/>
      </w:pPr>
      <w:r>
        <w:rPr>
          <w:rFonts w:ascii="Arial" w:cs="Arial" w:eastAsia="Arial" w:hAnsi="Arial"/>
          <w:b/>
          <w:bCs/>
          <w:color w:val="2E5591"/>
          <w:sz w:val="26"/>
          <w:szCs w:val="26"/>
        </w:rPr>
        <w:t xml:space="preserve">3.5 Análise Exploratória por Subgrupos</w:t>
      </w:r>
    </w:p>
    <w:p>
      <w:pPr>
        <w:pStyle w:val="Heading3"/>
        <w:spacing w:before="200" w:after="120"/>
      </w:pPr>
      <w:r>
        <w:rPr>
          <w:rFonts w:ascii="Arial" w:cs="Arial" w:eastAsia="Arial" w:hAnsi="Arial"/>
          <w:b/>
          <w:bCs/>
          <w:color w:val="404040"/>
          <w:sz w:val="24"/>
          <w:szCs w:val="24"/>
        </w:rPr>
        <w:t xml:space="preserve">3.5.1 Subgrupos por Arquitetura</w:t>
      </w:r>
    </w:p>
    <w:p>
      <w:pPr>
        <w:spacing w:before="0" w:after="180"/>
        <w:jc w:val="both"/>
      </w:pPr>
      <w:r>
        <w:rPr>
          <w:rFonts w:ascii="Arial" w:cs="Arial" w:eastAsia="Arial" w:hAnsi="Arial"/>
          <w:b w:val="false"/>
          <w:bCs w:val="false"/>
          <w:i w:val="false"/>
          <w:iCs w:val="false"/>
          <w:color w:val="000000"/>
          <w:sz w:val="24"/>
          <w:szCs w:val="24"/>
        </w:rPr>
        <w:t xml:space="preserve">A análise exploratória por arquitetura (Tabelas 3 e 4; Figura 7) revelou padrão de desempenho complementar entre VLMs e LLMs. Os modelos VLM (Hong 2025a,⁷ Hong 2025b,⁸ Hong 2025c⁹ e Ostrovsky 2025;¹⁰ N=4 estudos bivariados) demonstraram sensibilidade de 93,6%† com especificidade de 92,1%†. Os modelos LLM (Huang 2023¹¹ e Huang 2025;¹² N=2 estudos bivariados com Raw 2×2) demonstraram sensibilidade de 78,7%† com especificidade de 99,2%†, reflexo do comportamento conservador de modelos baseados em processamento textual. As estimativas marcadas com † são derivadas do submodelo bivariado REML e não representam proporções simples das matrizes individuais — a diferença entre as estimativas brutas e as estimativas do modelo reflete o ajuste para heterogeneidade e correlação entre sensibilidade e especificidade.</w:t>
      </w:r>
    </w:p>
    <w:p>
      <w:pPr>
        <w:spacing w:before="0" w:after="180"/>
        <w:jc w:val="both"/>
      </w:pPr>
      <w:r>
        <w:rPr>
          <w:rFonts w:ascii="Arial" w:cs="Arial" w:eastAsia="Arial" w:hAnsi="Arial"/>
          <w:b w:val="false"/>
          <w:bCs w:val="false"/>
          <w:i w:val="false"/>
          <w:iCs w:val="false"/>
          <w:color w:val="000000"/>
          <w:sz w:val="24"/>
          <w:szCs w:val="24"/>
        </w:rPr>
        <w:t xml:space="preserve">Nota metodológica importante: Tanno et al. (2025)¹⁵ pertence ao Pool Suplementar (sem Raw 2×2 disponíveis) e, portanto, não integra a análise bivariada de subgrupos da Tabela 4. Ostrovsky 2025¹⁰ (ChatGPT-4V) é classificado como VLM pois recebe a imagem de radiografia como input direto — critério definitório adotado para toda a análise de subgrupos. Esta comparação é estritamente exploratória e não permite inferência causal.</w:t>
      </w:r>
    </w:p>
    <w:p>
      <w:pPr>
        <w:spacing w:before="360" w:after="100"/>
      </w:pPr>
      <w:r>
        <w:rPr>
          <w:rFonts w:ascii="Arial" w:cs="Arial" w:eastAsia="Arial" w:hAnsi="Arial"/>
          <w:b/>
          <w:bCs/>
          <w:sz w:val="22"/>
          <w:szCs w:val="22"/>
        </w:rPr>
        <w:t xml:space="preserve">Tabela 3. QUADAS-2 — Avaliação de risco de viés e aplicabilidade por estudo (N=10)</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540"/>
        <w:gridCol w:w="720"/>
        <w:gridCol w:w="720"/>
        <w:gridCol w:w="720"/>
        <w:gridCol w:w="720"/>
        <w:gridCol w:w="720"/>
        <w:gridCol w:w="720"/>
        <w:gridCol w:w="720"/>
        <w:gridCol w:w="640"/>
      </w:tblGrid>
      <w:tr>
        <w:trPr>
          <w:tblHeader/>
        </w:trPr>
        <w:tc>
          <w:tcPr>
            <w:tcW w:type="dxa" w:w="154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Estudo</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D1 Sel.</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D2 Teste</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D3 Ref.</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D4 Fluxo</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A1 Sel.</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A2 Teste</w:t>
            </w:r>
          </w:p>
        </w:tc>
        <w:tc>
          <w:tcPr>
            <w:tcW w:type="dxa" w:w="72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A3 Ref.</w:t>
            </w:r>
          </w:p>
        </w:tc>
        <w:tc>
          <w:tcPr>
            <w:tcW w:type="dxa" w:w="64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Overall</w:t>
            </w:r>
          </w:p>
        </w:tc>
      </w:tr>
      <w:tr>
        <w:tc>
          <w:tcPr>
            <w:tcW w:type="dxa" w:w="154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2025a</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r>
      <w:tr>
        <w:tc>
          <w:tcPr>
            <w:tcW w:type="dxa" w:w="1540"/>
            <w:gridSpan w:val="1"/>
            <w:tcBorders>
              <w:top w:val="single" w:color="B0B8C8" w:sz="3"/>
              <w:left w:val="single" w:color="B0B8C8" w:sz="3"/>
              <w:bottom w:val="single" w:color="B0B8C8" w:sz="3"/>
              <w:right w:val="single" w:color="B0B8C8" w:sz="3"/>
            </w:tcBorders>
            <w:shd w:fill="F9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2025b</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r>
      <w:tr>
        <w:tc>
          <w:tcPr>
            <w:tcW w:type="dxa" w:w="154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2025c</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r>
      <w:tr>
        <w:tc>
          <w:tcPr>
            <w:tcW w:type="dxa" w:w="1540"/>
            <w:gridSpan w:val="1"/>
            <w:tcBorders>
              <w:top w:val="single" w:color="B0B8C8" w:sz="3"/>
              <w:left w:val="single" w:color="B0B8C8" w:sz="3"/>
              <w:bottom w:val="single" w:color="B0B8C8" w:sz="3"/>
              <w:right w:val="single" w:color="B0B8C8" w:sz="3"/>
            </w:tcBorders>
            <w:shd w:fill="F9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Ostrovsky 2025</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r>
      <w:tr>
        <w:tc>
          <w:tcPr>
            <w:tcW w:type="dxa" w:w="154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Huang 2023</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r>
      <w:tr>
        <w:tc>
          <w:tcPr>
            <w:tcW w:type="dxa" w:w="1540"/>
            <w:gridSpan w:val="1"/>
            <w:tcBorders>
              <w:top w:val="single" w:color="B0B8C8" w:sz="3"/>
              <w:left w:val="single" w:color="B0B8C8" w:sz="3"/>
              <w:bottom w:val="single" w:color="B0B8C8" w:sz="3"/>
              <w:right w:val="single" w:color="B0B8C8" w:sz="3"/>
            </w:tcBorders>
            <w:shd w:fill="F9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Huang 2025</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r>
      <w:tr>
        <w:tc>
          <w:tcPr>
            <w:tcW w:type="dxa" w:w="154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Noh 2026</w:t>
            </w:r>
          </w:p>
        </w:tc>
        <w:tc>
          <w:tcPr>
            <w:tcW w:type="dxa" w:w="720"/>
            <w:tcBorders>
              <w:top w:val="single" w:color="B0B8C8" w:sz="3"/>
              <w:left w:val="single" w:color="B0B8C8" w:sz="3"/>
              <w:bottom w:val="single" w:color="B0B8C8" w:sz="3"/>
              <w:right w:val="single" w:color="B0B8C8" w:sz="3"/>
            </w:tcBorders>
            <w:shd w:fill="FFC7CE" w:val="clear"/>
            <w:tcMar>
              <w:top w:type="dxa" w:w="80"/>
              <w:left w:type="dxa" w:w="140"/>
              <w:bottom w:type="dxa" w:w="80"/>
              <w:right w:type="dxa" w:w="140"/>
            </w:tcMar>
            <w:vAlign w:val="center"/>
          </w:tcPr>
          <w:p>
            <w:pPr>
              <w:jc w:val="center"/>
            </w:pPr>
            <w:r>
              <w:rPr>
                <w:rFonts w:ascii="Arial" w:cs="Arial" w:eastAsia="Arial" w:hAnsi="Arial"/>
                <w:b/>
                <w:bCs/>
                <w:color w:val="9C0006"/>
                <w:sz w:val="18"/>
                <w:szCs w:val="18"/>
              </w:rPr>
              <w:t xml:space="preserve">Alto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C7CE" w:val="clear"/>
            <w:tcMar>
              <w:top w:type="dxa" w:w="80"/>
              <w:left w:type="dxa" w:w="140"/>
              <w:bottom w:type="dxa" w:w="80"/>
              <w:right w:type="dxa" w:w="140"/>
            </w:tcMar>
            <w:vAlign w:val="center"/>
          </w:tcPr>
          <w:p>
            <w:pPr>
              <w:jc w:val="center"/>
            </w:pPr>
            <w:r>
              <w:rPr>
                <w:rFonts w:ascii="Arial" w:cs="Arial" w:eastAsia="Arial" w:hAnsi="Arial"/>
                <w:b/>
                <w:bCs/>
                <w:color w:val="9C0006"/>
                <w:sz w:val="18"/>
                <w:szCs w:val="18"/>
              </w:rPr>
              <w:t xml:space="preserve">Alto</w:t>
            </w:r>
          </w:p>
        </w:tc>
      </w:tr>
      <w:tr>
        <w:tc>
          <w:tcPr>
            <w:tcW w:type="dxa" w:w="1540"/>
            <w:gridSpan w:val="1"/>
            <w:tcBorders>
              <w:top w:val="single" w:color="B0B8C8" w:sz="3"/>
              <w:left w:val="single" w:color="B0B8C8" w:sz="3"/>
              <w:bottom w:val="single" w:color="B0B8C8" w:sz="3"/>
              <w:right w:val="single" w:color="B0B8C8" w:sz="3"/>
            </w:tcBorders>
            <w:shd w:fill="F9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Lee 2025</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r>
      <w:tr>
        <w:tc>
          <w:tcPr>
            <w:tcW w:type="dxa" w:w="154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Gunes 2025</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r>
      <w:tr>
        <w:tc>
          <w:tcPr>
            <w:tcW w:type="dxa" w:w="1540"/>
            <w:gridSpan w:val="1"/>
            <w:tcBorders>
              <w:top w:val="single" w:color="B0B8C8" w:sz="3"/>
              <w:left w:val="single" w:color="B0B8C8" w:sz="3"/>
              <w:bottom w:val="single" w:color="B0B8C8" w:sz="3"/>
              <w:right w:val="single" w:color="B0B8C8" w:sz="3"/>
            </w:tcBorders>
            <w:shd w:fill="F9FA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Tanno 2025</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720"/>
            <w:tcBorders>
              <w:top w:val="single" w:color="B0B8C8" w:sz="3"/>
              <w:left w:val="single" w:color="B0B8C8" w:sz="3"/>
              <w:bottom w:val="single" w:color="B0B8C8" w:sz="3"/>
              <w:right w:val="single" w:color="B0B8C8" w:sz="3"/>
            </w:tcBorders>
            <w:shd w:fill="C6EFCE" w:val="clear"/>
            <w:tcMar>
              <w:top w:type="dxa" w:w="80"/>
              <w:left w:type="dxa" w:w="140"/>
              <w:bottom w:type="dxa" w:w="80"/>
              <w:right w:type="dxa" w:w="140"/>
            </w:tcMar>
            <w:vAlign w:val="center"/>
          </w:tcPr>
          <w:p>
            <w:pPr>
              <w:jc w:val="center"/>
            </w:pPr>
            <w:r>
              <w:rPr>
                <w:rFonts w:ascii="Arial" w:cs="Arial" w:eastAsia="Arial" w:hAnsi="Arial"/>
                <w:b/>
                <w:bCs/>
                <w:color w:val="275218"/>
                <w:sz w:val="18"/>
                <w:szCs w:val="18"/>
              </w:rPr>
              <w:t xml:space="preserve">Baixo</w:t>
            </w:r>
          </w:p>
        </w:tc>
        <w:tc>
          <w:tcPr>
            <w:tcW w:type="dxa" w:w="640"/>
            <w:tcBorders>
              <w:top w:val="single" w:color="B0B8C8" w:sz="3"/>
              <w:left w:val="single" w:color="B0B8C8" w:sz="3"/>
              <w:bottom w:val="single" w:color="B0B8C8" w:sz="3"/>
              <w:right w:val="single" w:color="B0B8C8" w:sz="3"/>
            </w:tcBorders>
            <w:shd w:fill="FFEB9C" w:val="clear"/>
            <w:tcMar>
              <w:top w:type="dxa" w:w="80"/>
              <w:left w:type="dxa" w:w="140"/>
              <w:bottom w:type="dxa" w:w="80"/>
              <w:right w:type="dxa" w:w="140"/>
            </w:tcMar>
            <w:vAlign w:val="center"/>
          </w:tcPr>
          <w:p>
            <w:pPr>
              <w:jc w:val="center"/>
            </w:pPr>
            <w:r>
              <w:rPr>
                <w:rFonts w:ascii="Arial" w:cs="Arial" w:eastAsia="Arial" w:hAnsi="Arial"/>
                <w:b/>
                <w:bCs/>
                <w:color w:val="9C6500"/>
                <w:sz w:val="18"/>
                <w:szCs w:val="18"/>
              </w:rPr>
              <w:t xml:space="preserve">Incerto</w:t>
            </w:r>
          </w:p>
        </w:tc>
      </w:tr>
    </w:tbl>
    <w:p>
      <w:pPr>
        <w:spacing w:before="80" w:after="280"/>
      </w:pPr>
      <w:r>
        <w:rPr>
          <w:rFonts w:ascii="Arial" w:cs="Arial" w:eastAsia="Arial" w:hAnsi="Arial"/>
          <w:i/>
          <w:iCs/>
          <w:color w:val="505050"/>
          <w:sz w:val="20"/>
          <w:szCs w:val="20"/>
        </w:rPr>
        <w:t xml:space="preserve">D1=Seleção; D2=Teste índice; D3=Padrão de referência; D4=Fluxo e tempo; A1–A3=Aplicabilidade. Baixo=verde; Incerto=amarelo; Alto=vermelho. Avaliação por dois revisores independentes com resolução de discordâncias por consenso.</w:t>
      </w:r>
    </w:p>
    <w:p>
      <w:pPr>
        <w:spacing w:before="360" w:after="100"/>
      </w:pPr>
      <w:r>
        <w:rPr>
          <w:rFonts w:ascii="Arial" w:cs="Arial" w:eastAsia="Arial" w:hAnsi="Arial"/>
          <w:b/>
          <w:bCs/>
          <w:sz w:val="22"/>
          <w:szCs w:val="22"/>
        </w:rPr>
        <w:t xml:space="preserve">Tabela 4. Análise exploratória por arquitetura — Pool bivariado (estudos com Raw 2×2)</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500"/>
        <w:gridCol w:w="1500"/>
        <w:gridCol w:w="3000"/>
      </w:tblGrid>
      <w:tr>
        <w:trPr>
          <w:tblHeader/>
        </w:trPr>
        <w:tc>
          <w:tcPr>
            <w:tcW w:type="dxa" w:w="21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Arquitetura</w:t>
            </w:r>
          </w:p>
        </w:tc>
        <w:tc>
          <w:tcPr>
            <w:tcW w:type="dxa" w:w="8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 Est.</w:t>
            </w:r>
          </w:p>
        </w:tc>
        <w:tc>
          <w:tcPr>
            <w:tcW w:type="dxa" w:w="15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Sensibilidade</w:t>
            </w:r>
          </w:p>
        </w:tc>
        <w:tc>
          <w:tcPr>
            <w:tcW w:type="dxa" w:w="15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Especificidade</w:t>
            </w:r>
          </w:p>
        </w:tc>
        <w:tc>
          <w:tcPr>
            <w:tcW w:type="dxa" w:w="3000"/>
            <w:gridSpan w:val="1"/>
            <w:tcBorders>
              <w:top w:val="single" w:color="B0B8C8" w:sz="3"/>
              <w:left w:val="single" w:color="B0B8C8" w:sz="3"/>
              <w:bottom w:val="single" w:color="B0B8C8" w:sz="3"/>
              <w:right w:val="single" w:color="B0B8C8" w:sz="3"/>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Estudos incluídos</w:t>
            </w:r>
          </w:p>
        </w:tc>
      </w:tr>
      <w:tr>
        <w:tc>
          <w:tcPr>
            <w:tcW w:type="dxa" w:w="21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VLM (Vision-Language)</w:t>
            </w:r>
          </w:p>
        </w:tc>
        <w:tc>
          <w:tcPr>
            <w:tcW w:type="dxa" w:w="8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5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93,6%†</w:t>
            </w:r>
          </w:p>
        </w:tc>
        <w:tc>
          <w:tcPr>
            <w:tcW w:type="dxa" w:w="15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92,1%†</w:t>
            </w:r>
          </w:p>
        </w:tc>
        <w:tc>
          <w:tcPr>
            <w:tcW w:type="dxa" w:w="3000"/>
            <w:gridSpan w:val="1"/>
            <w:tcBorders>
              <w:top w:val="single" w:color="B0B8C8" w:sz="3"/>
              <w:left w:val="single" w:color="B0B8C8" w:sz="3"/>
              <w:bottom w:val="single" w:color="B0B8C8" w:sz="3"/>
              <w:right w:val="single" w:color="B0B8C8" w:sz="3"/>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Hong 2025a,⁷ Hong 2025b,⁸ Hong 2025c,⁹ Ostrovsky 2025¹⁰</w:t>
            </w:r>
          </w:p>
        </w:tc>
      </w:tr>
      <w:tr>
        <w:tc>
          <w:tcPr>
            <w:tcW w:type="dxa" w:w="21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LLM (Large Language)</w:t>
            </w:r>
          </w:p>
        </w:tc>
        <w:tc>
          <w:tcPr>
            <w:tcW w:type="dxa" w:w="8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5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78,7%†</w:t>
            </w:r>
          </w:p>
        </w:tc>
        <w:tc>
          <w:tcPr>
            <w:tcW w:type="dxa" w:w="15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99,2%†</w:t>
            </w:r>
          </w:p>
        </w:tc>
        <w:tc>
          <w:tcPr>
            <w:tcW w:type="dxa" w:w="3000"/>
            <w:gridSpan w:val="1"/>
            <w:tcBorders>
              <w:top w:val="single" w:color="B0B8C8" w:sz="3"/>
              <w:left w:val="single" w:color="B0B8C8" w:sz="3"/>
              <w:bottom w:val="single" w:color="B0B8C8" w:sz="3"/>
              <w:right w:val="single" w:color="B0B8C8" w:sz="3"/>
            </w:tcBorders>
            <w:shd w:fill="F2F7F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Huang 2023,¹¹ Huang 2025¹²</w:t>
            </w:r>
          </w:p>
        </w:tc>
      </w:tr>
    </w:tbl>
    <w:p>
      <w:pPr>
        <w:spacing w:before="80" w:after="280"/>
      </w:pPr>
      <w:r>
        <w:rPr>
          <w:rFonts w:ascii="Arial" w:cs="Arial" w:eastAsia="Arial" w:hAnsi="Arial"/>
          <w:i/>
          <w:iCs/>
          <w:color w:val="505050"/>
          <w:sz w:val="20"/>
          <w:szCs w:val="20"/>
        </w:rPr>
        <w:t xml:space="preserve">†Estimativas do submodelo bivariado hierárquico (REML) — não representam proporções brutas das matrizes individuais. VLM N=4: Hong 2025a,⁷ Hong 2025b,⁸ Hong 2025c,⁹ Ostrovsky 2025.¹⁰ LLM N=2: Huang 2023,¹¹ Huang 2025.¹² Noh 2026⁵ excluído por alto risco QUADAS-2. Tanno 2025¹⁵ não incluído por pertencer ao Pool Suplementar (sem Raw 2×2). Comparação VLM vs LLM sem teste formal de significância — análise exploratória.</w:t>
      </w:r>
    </w:p>
    <w:p>
      <w:pPr>
        <w:spacing w:before="300" w:after="60"/>
        <w:jc w:val="center"/>
      </w:pPr>
      <w:r>
        <w:rPr>
          <w:rFonts w:ascii="Arial" w:cs="Arial" w:eastAsia="Arial" w:hAnsi="Arial"/>
          <w:b/>
          <w:bCs/>
          <w:sz w:val="22"/>
          <w:szCs w:val="22"/>
        </w:rPr>
        <w:t xml:space="preserve">Figura 6. Bubble Plot — Sensibilidade × Especificidade × Tamanho da Amostra</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Tamanho da bolha ∝ N participantes. Eixo X: 1−Especificidade. Eixo Y: Sensibilidade. Cor: arquitetura (VLM=ciano; LLM=salmão). Huang 2025¹² domina por tamanho amostral (N=97.651). Noh 2026⁵ ausente por exclusão via alto risco QUADAS-2 (D1=Alto).</w:t>
      </w:r>
    </w:p>
    <w:p>
      <w:pPr>
        <w:spacing w:before="300" w:after="60"/>
        <w:jc w:val="center"/>
      </w:pPr>
      <w:r>
        <w:rPr>
          <w:rFonts w:ascii="Arial" w:cs="Arial" w:eastAsia="Arial" w:hAnsi="Arial"/>
          <w:b/>
          <w:bCs/>
          <w:sz w:val="22"/>
          <w:szCs w:val="22"/>
        </w:rPr>
        <w:t xml:space="preserve">Figura 7. Bar Chart — Comparativo VLM vs LLM</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VLM (N=4 estudos bivariados): Sens=93,6%†; Spec=92,1%†. LLM (N=2 estudos bivariados): Sens=78,7%†; Spec=99,2%†. †Estimativas do submodelo bivariado REML. Análise exploratória — sem teste formal de significância entre grupos.</w:t>
      </w:r>
    </w:p>
    <w:p>
      <w:pPr>
        <w:pStyle w:val="Heading3"/>
        <w:spacing w:before="200" w:after="120"/>
      </w:pPr>
      <w:r>
        <w:rPr>
          <w:rFonts w:ascii="Arial" w:cs="Arial" w:eastAsia="Arial" w:hAnsi="Arial"/>
          <w:b/>
          <w:bCs/>
          <w:color w:val="404040"/>
          <w:sz w:val="24"/>
          <w:szCs w:val="24"/>
        </w:rPr>
        <w:t xml:space="preserve">3.5.2 Subgrupos por Condição Clínica</w:t>
      </w:r>
    </w:p>
    <w:p>
      <w:pPr>
        <w:spacing w:before="0" w:after="180"/>
        <w:jc w:val="both"/>
      </w:pPr>
      <w:r>
        <w:rPr>
          <w:rFonts w:ascii="Arial" w:cs="Arial" w:eastAsia="Arial" w:hAnsi="Arial"/>
          <w:b w:val="false"/>
          <w:bCs w:val="false"/>
          <w:i w:val="false"/>
          <w:iCs w:val="false"/>
          <w:color w:val="000000"/>
          <w:sz w:val="24"/>
          <w:szCs w:val="24"/>
        </w:rPr>
        <w:t xml:space="preserve">O desempenho diagnóstico variou substancialmente por condição clínica, refletindo a heterogeneidade das tarefas avaliadas. Para pneumotórax (N=3 estudos bivariados: Hong 2025a,⁷ Huang 2025¹² e Noh 2026⁵), a especificidade foi excepcionalmente alta (próxima a 100%), consistente com a natureza anatômica objetiva desta condição. Para tuberculose (Hong 2025b⁸) e lesão pleural (Hong 2025c⁹), a sensibilidade manteve-se acima de 95%, demonstrando proficiência elevada para condições de padrões radiológicos característicos. Para pneumonia (Ostrovsky 2025¹⁰) e emergência geral (Huang 2023¹¹), o desempenho foi moderado mas clinicamente relevante, refletindo maior variabilidade de apresentações radiológicas e dependência de contexto clínico.</w:t>
      </w:r>
    </w:p>
    <w:p>
      <w:pPr>
        <w:spacing w:before="300" w:after="60"/>
        <w:jc w:val="center"/>
      </w:pPr>
      <w:r>
        <w:rPr>
          <w:rFonts w:ascii="Arial" w:cs="Arial" w:eastAsia="Arial" w:hAnsi="Arial"/>
          <w:b/>
          <w:bCs/>
          <w:sz w:val="22"/>
          <w:szCs w:val="22"/>
        </w:rPr>
        <w:t xml:space="preserve">Figura 8. QUADAS-2 Traffic Light Plot — Risco de viés por estudo e domínio</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Noh 2026⁵ com alto risco (vermelho) no domínio Seleção de Pacientes. Domínio Teste Índice: incerto em 4 estudos (ausência de threshold pré-especificado). Legenda: verde=baixo risco; amarelo=risco incerto; vermelho=alto risco.</w:t>
      </w:r>
    </w:p>
    <w:p>
      <w:pPr>
        <w:spacing w:before="300" w:after="60"/>
        <w:jc w:val="center"/>
      </w:pPr>
      <w:r>
        <w:rPr>
          <w:rFonts w:ascii="Arial" w:cs="Arial" w:eastAsia="Arial" w:hAnsi="Arial"/>
          <w:b/>
          <w:bCs/>
          <w:sz w:val="22"/>
          <w:szCs w:val="22"/>
        </w:rPr>
        <w:t xml:space="preserve">Figura 9. QUADAS-2 Summary Plot — Resumo por domínio (N=10 estudos)</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Risco Geral: 30% baixo, 60% incerto, 10% alto. Domínio Seleção: 90% baixo, 10% alto. Domínio Teste Índice: 60% baixo, 40% incerto. N=10 estudos na avaliação qualitativa completa.</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4. Discussão</w:t>
      </w:r>
    </w:p>
    <w:p>
      <w:pPr>
        <w:pStyle w:val="Heading2"/>
        <w:spacing w:before="280" w:after="160"/>
      </w:pPr>
      <w:r>
        <w:rPr>
          <w:rFonts w:ascii="Arial" w:cs="Arial" w:eastAsia="Arial" w:hAnsi="Arial"/>
          <w:b/>
          <w:bCs/>
          <w:color w:val="2E5591"/>
          <w:sz w:val="26"/>
          <w:szCs w:val="26"/>
        </w:rPr>
        <w:t xml:space="preserve">4.1 Interpretação da Acurácia e Relevância Clínica</w:t>
      </w:r>
    </w:p>
    <w:p>
      <w:pPr>
        <w:spacing w:before="0" w:after="180"/>
        <w:jc w:val="both"/>
      </w:pPr>
      <w:r>
        <w:rPr>
          <w:rFonts w:ascii="Arial" w:cs="Arial" w:eastAsia="Arial" w:hAnsi="Arial"/>
          <w:b w:val="false"/>
          <w:bCs w:val="false"/>
          <w:i w:val="false"/>
          <w:iCs w:val="false"/>
          <w:color w:val="000000"/>
          <w:sz w:val="24"/>
          <w:szCs w:val="24"/>
        </w:rPr>
        <w:t xml:space="preserve">A presente meta-análise bivariada hierárquica demonstra que modelos de IA Generativa Multimodal atingiram patamares de acurácia diagnóstica consistentes e promissores em triagem radiológica torácica, com sensibilidade agrupada de 87,9% e especificidade agrupada de 97,9%. A especificidade de 97,9% é particularmente notável no contexto clínico: sugere que esses modelos classificam radiografias normais com altíssima confiança, minimizando alarmismo diagnóstico e aliviando a carga de trabalho dos radiologistas em serviços de alta demanda, onde a triagem de exames normais representa parcela substancial da carga de trabalho diária.</w:t>
      </w:r>
    </w:p>
    <w:p>
      <w:pPr>
        <w:spacing w:before="0" w:after="180"/>
        <w:jc w:val="both"/>
      </w:pPr>
      <w:r>
        <w:rPr>
          <w:rFonts w:ascii="Arial" w:cs="Arial" w:eastAsia="Arial" w:hAnsi="Arial"/>
          <w:b w:val="false"/>
          <w:bCs w:val="false"/>
          <w:i w:val="false"/>
          <w:iCs w:val="false"/>
          <w:color w:val="000000"/>
          <w:sz w:val="24"/>
          <w:szCs w:val="24"/>
        </w:rPr>
        <w:t xml:space="preserve">A interpretação clínica desses dados exige, contudo, reconhecimento das limitações do agrupamento. O construct misalignment — agrupamento de tarefas diagnósticas conceitualmente distintas (pneumotórax, tuberculose, pneumonia, emergência geral) em um único pool bivariado — é a limitação metodológica mais substantiva desta síntese. A definição operacional de 'resultado positivo' varia fundamentalmente entre os estudos incluídos: em Noh et al.,⁵ positivo significa a presença de linha pleural visceral sem trama vascular; em Hong et al. (2025b),⁸ positivo corresponde a padrões radiológicos de TB com correlação clínica; em Ostrovsky et al.,¹⁰ positivo é o diagnóstico de pneumonia em pronto-atendimento real. O ponto sumário representa, portanto, um indicador composto de desempenho da classe tecnológica, não acurácia condição-específica. A análise de subgrupos (seção 3.5.2) permanece a referência mais clinicamente relevante para decisões de implementação por patologia.</w:t>
      </w:r>
    </w:p>
    <w:p>
      <w:pPr>
        <w:pStyle w:val="Heading2"/>
        <w:spacing w:before="280" w:after="160"/>
      </w:pPr>
      <w:r>
        <w:rPr>
          <w:rFonts w:ascii="Arial" w:cs="Arial" w:eastAsia="Arial" w:hAnsi="Arial"/>
          <w:b/>
          <w:bCs/>
          <w:color w:val="2E5591"/>
          <w:sz w:val="26"/>
          <w:szCs w:val="26"/>
        </w:rPr>
        <w:t xml:space="preserve">4.2 Impacto no Fluxo de Trabalho — Nomograma de Fagan</w:t>
      </w:r>
    </w:p>
    <w:p>
      <w:pPr>
        <w:spacing w:before="0" w:after="180"/>
        <w:jc w:val="both"/>
      </w:pPr>
      <w:r>
        <w:rPr>
          <w:rFonts w:ascii="Arial" w:cs="Arial" w:eastAsia="Arial" w:hAnsi="Arial"/>
          <w:b w:val="false"/>
          <w:bCs w:val="false"/>
          <w:i w:val="false"/>
          <w:iCs w:val="false"/>
          <w:color w:val="000000"/>
          <w:sz w:val="24"/>
          <w:szCs w:val="24"/>
        </w:rPr>
        <w:t xml:space="preserve">A tradução das métricas para o cenário clínico real é revelada pelo Nomograma de Fagan. Com RV+ de 41,83, um laudo positivo gerado pela IA eleva a probabilidade pós-teste de forma substancial: com prevalência pré-teste de 20% (cenário de emergência de alto risco), a probabilidade pós-teste positivo atinge 91,3%. Esta magnitude coloca os modelos avaliados na categoria de testes de alta utilidade para confirmação diagnóstica — superior a análises anteriores baseadas em pools menores com menor diversidade de arquiteturas.</w:t>
      </w:r>
    </w:p>
    <w:p>
      <w:pPr>
        <w:spacing w:before="0" w:after="180"/>
        <w:jc w:val="both"/>
      </w:pPr>
      <w:r>
        <w:rPr>
          <w:rFonts w:ascii="Arial" w:cs="Arial" w:eastAsia="Arial" w:hAnsi="Arial"/>
          <w:b w:val="false"/>
          <w:bCs w:val="false"/>
          <w:i w:val="false"/>
          <w:iCs w:val="false"/>
          <w:color w:val="000000"/>
          <w:sz w:val="24"/>
          <w:szCs w:val="24"/>
        </w:rPr>
        <w:t xml:space="preserve">A RV− de 0,124 confere ao resultado negativo poder de descarte clinicamente relevante: com prevalência pré-teste de 10%, a probabilidade pós-teste negativo cai a 1,4%, conferindo à ferramenta utilidade como instrumento de exclusão diagnóstica em cenários de triagem de baixa prevalência. Hong et al. (2025c)⁹ demonstrou que a assistência por IA reduziu o tempo de leitura de 34s para 19s (p&lt;0,001) e aumentou a sensibilidade para lesões pleurais de 77,7% para 87,4%, evidenciando impacto transformador e mensurável no fluxo de trabalho radiológico.</w:t>
      </w:r>
    </w:p>
    <w:p>
      <w:pPr>
        <w:spacing w:before="300" w:after="60"/>
        <w:jc w:val="center"/>
      </w:pPr>
      <w:r>
        <w:rPr>
          <w:rFonts w:ascii="Arial" w:cs="Arial" w:eastAsia="Arial" w:hAnsi="Arial"/>
          <w:b/>
          <w:bCs/>
          <w:sz w:val="22"/>
          <w:szCs w:val="22"/>
        </w:rPr>
        <w:t xml:space="preserve">Figura 3 (Detalhe). Nomograma de Fagan — Utilidade Clínica Bayesiana</w:t>
      </w:r>
    </w:p>
    <w:p>
      <w:pPr>
        <w:spacing w:before="0" w:after="60"/>
        <w:jc w:val="center"/>
      </w:pPr>
      <w:r>
        <w:rPr>
          <w:rFonts w:ascii="Arial" w:cs="Arial" w:eastAsia="Arial" w:hAnsi="Arial"/>
          <w:b/>
          <w:bCs/>
          <w:color w:val="808080"/>
          <w:sz w:val="22"/>
          <w:szCs w:val="22"/>
        </w:rPr>
        <w:t xml:space="preserve">⬛  INSERIR FIGURA AQUI  ⬛</w:t>
      </w:r>
    </w:p>
    <w:p>
      <w:pPr>
        <w:spacing w:before="40" w:after="280"/>
        <w:jc w:val="center"/>
      </w:pPr>
      <w:r>
        <w:rPr>
          <w:rFonts w:ascii="Arial" w:cs="Arial" w:eastAsia="Arial" w:hAnsi="Arial"/>
          <w:i/>
          <w:iCs/>
          <w:color w:val="505050"/>
          <w:sz w:val="20"/>
          <w:szCs w:val="20"/>
        </w:rPr>
        <w:t xml:space="preserve">RV+=41,83; RV−=0,124. Prevalência pré-teste de 20%: resultado positivo → prob. pós-teste 91,3%; resultado negativo → prob. pós-teste 3,0%. Fonte: Fagan TJ. N Engl J Med. 1975;293:257.</w:t>
      </w:r>
    </w:p>
    <w:p>
      <w:pPr>
        <w:pStyle w:val="Heading2"/>
        <w:spacing w:before="280" w:after="160"/>
      </w:pPr>
      <w:r>
        <w:rPr>
          <w:rFonts w:ascii="Arial" w:cs="Arial" w:eastAsia="Arial" w:hAnsi="Arial"/>
          <w:b/>
          <w:bCs/>
          <w:color w:val="2E5591"/>
          <w:sz w:val="26"/>
          <w:szCs w:val="26"/>
        </w:rPr>
        <w:t xml:space="preserve">4.3 Disparidade Arquitetural: VLM vs. LLM</w:t>
      </w:r>
    </w:p>
    <w:p>
      <w:pPr>
        <w:spacing w:before="0" w:after="180"/>
        <w:jc w:val="both"/>
      </w:pPr>
      <w:r>
        <w:rPr>
          <w:rFonts w:ascii="Arial" w:cs="Arial" w:eastAsia="Arial" w:hAnsi="Arial"/>
          <w:b w:val="false"/>
          <w:bCs w:val="false"/>
          <w:i w:val="false"/>
          <w:iCs w:val="false"/>
          <w:color w:val="000000"/>
          <w:sz w:val="24"/>
          <w:szCs w:val="24"/>
        </w:rPr>
        <w:t xml:space="preserve">A análise exploratória por arquitetura revelou perfis de desempenho complementares com implicações diretas para a seleção de ferramenta por contexto clínico. VLMs demonstram sensibilidade superior (93,6%†), sendo mais apropriados para cenários de triagem onde falsos negativos são clinicamente mais custosos — como detecção de pneumotórax hipertensivo ou lesões pleurais agudas. LLMs demonstram especificidade superior (99,2%†), sendo mais adequados para cenários onde a taxa de falsos positivos deve ser minimizada — como confirmação diagnóstica em pacientes com baixa probabilidade pré-teste.</w:t>
      </w:r>
    </w:p>
    <w:p>
      <w:pPr>
        <w:spacing w:before="0" w:after="180"/>
        <w:jc w:val="both"/>
      </w:pPr>
      <w:r>
        <w:rPr>
          <w:rFonts w:ascii="Arial" w:cs="Arial" w:eastAsia="Arial" w:hAnsi="Arial"/>
          <w:b w:val="false"/>
          <w:bCs w:val="false"/>
          <w:i w:val="false"/>
          <w:iCs w:val="false"/>
          <w:color w:val="000000"/>
          <w:sz w:val="24"/>
          <w:szCs w:val="24"/>
        </w:rPr>
        <w:t xml:space="preserve">É necessário reconhecer que esta comparação é exploratória e não permite inferência causal — os estudos de VLM e LLM diferem em condições clínicas avaliadas, tamanhos amostrais e protocolos de teste, além do número restrito de estudos por subgrupo (VLM N=4, LLM N=2 no pool bivariado). As estimativas marcadas com † são derivadas do submodelo bivariado REML, não de proporções simples das matrizes individuais.</w:t>
      </w:r>
    </w:p>
    <w:p>
      <w:pPr>
        <w:pStyle w:val="Heading2"/>
        <w:spacing w:before="280" w:after="160"/>
      </w:pPr>
      <w:r>
        <w:rPr>
          <w:rFonts w:ascii="Arial" w:cs="Arial" w:eastAsia="Arial" w:hAnsi="Arial"/>
          <w:b/>
          <w:bCs/>
          <w:color w:val="2E5591"/>
          <w:sz w:val="26"/>
          <w:szCs w:val="26"/>
        </w:rPr>
        <w:t xml:space="preserve">4.4 O Desafio da Prevalência Extrema e da Dominância Amostral</w:t>
      </w:r>
    </w:p>
    <w:p>
      <w:pPr>
        <w:spacing w:before="0" w:after="180"/>
        <w:jc w:val="both"/>
      </w:pPr>
      <w:r>
        <w:rPr>
          <w:rFonts w:ascii="Arial" w:cs="Arial" w:eastAsia="Arial" w:hAnsi="Arial"/>
          <w:b w:val="false"/>
          <w:bCs w:val="false"/>
          <w:i w:val="false"/>
          <w:iCs w:val="false"/>
          <w:color w:val="000000"/>
          <w:sz w:val="24"/>
          <w:szCs w:val="24"/>
        </w:rPr>
        <w:t xml:space="preserve">Huang et al. (2025)¹² representa 94,4% do N total do pool bivariado (97.651 de 103.417 exames) com prevalência de pneumotórax de apenas 0,03%. Este estudo domina as estimativas de especificidade agrupada de forma desproporcional. Sua inclusão é metodologicamente justificada — fornece dados brutos completos e alta validade interna —, mas sua influência desproporcional exige declaração explícita: a especificidade de 97,9% é amplamente determinada por um único estudo de cenário de baixíssima prevalência, o que pode não ser representativo de ambientes de triagem com prevalência moderada a alta. A análise de sensibilidade excluindo este estudo é, portanto, mandatória para interpretação robusta das estimativas globais.</w:t>
      </w:r>
    </w:p>
    <w:p>
      <w:pPr>
        <w:pStyle w:val="Heading2"/>
        <w:spacing w:before="280" w:after="160"/>
      </w:pPr>
      <w:r>
        <w:rPr>
          <w:rFonts w:ascii="Arial" w:cs="Arial" w:eastAsia="Arial" w:hAnsi="Arial"/>
          <w:b/>
          <w:bCs/>
          <w:color w:val="2E5591"/>
          <w:sz w:val="26"/>
          <w:szCs w:val="26"/>
        </w:rPr>
        <w:t xml:space="preserve">4.5 Limitações do Estudo</w:t>
      </w:r>
    </w:p>
    <w:p>
      <w:pPr>
        <w:pStyle w:val="ListParagraph"/>
        <w:numPr>
          <w:ilvl w:val="0"/>
          <w:numId w:val="2"/>
        </w:numPr>
        <w:spacing w:before="0" w:after="120"/>
      </w:pPr>
      <w:r>
        <w:rPr>
          <w:rFonts w:ascii="Arial" w:cs="Arial" w:eastAsia="Arial" w:hAnsi="Arial"/>
          <w:sz w:val="24"/>
          <w:szCs w:val="24"/>
        </w:rPr>
        <w:t xml:space="preserve">Dominância amostral de Huang 2025¹² (94,4% do N total): as estimativas de especificidade são fortemente influenciadas por um único estudo de baixíssima prevalência (0,03%), limitando a generalização para ambientes com prevalência moderada.</w:t>
      </w:r>
    </w:p>
    <w:p>
      <w:pPr>
        <w:pStyle w:val="ListParagraph"/>
        <w:numPr>
          <w:ilvl w:val="0"/>
          <w:numId w:val="2"/>
        </w:numPr>
        <w:spacing w:before="0" w:after="120"/>
      </w:pPr>
      <w:r>
        <w:rPr>
          <w:rFonts w:ascii="Arial" w:cs="Arial" w:eastAsia="Arial" w:hAnsi="Arial"/>
          <w:sz w:val="24"/>
          <w:szCs w:val="24"/>
        </w:rPr>
        <w:t xml:space="preserve">Heterogeneidade de condições e arquiteturas: o ponto sumário agrega tarefas clinicamente heterogêneas — deve ser interpretado como indicador composto de desempenho da classe tecnológica, não como acurácia condição-específica para qualquer patologia isolada.</w:t>
      </w:r>
    </w:p>
    <w:p>
      <w:pPr>
        <w:pStyle w:val="ListParagraph"/>
        <w:numPr>
          <w:ilvl w:val="0"/>
          <w:numId w:val="2"/>
        </w:numPr>
        <w:spacing w:before="0" w:after="120"/>
      </w:pPr>
      <w:r>
        <w:rPr>
          <w:rFonts w:ascii="Arial" w:cs="Arial" w:eastAsia="Arial" w:hAnsi="Arial"/>
          <w:sz w:val="24"/>
          <w:szCs w:val="24"/>
        </w:rPr>
        <w:t xml:space="preserve">Pool bivariado LLM com N=2 (Huang 2023¹¹ e Huang 2025¹²): subgrupo estatisticamente insuficiente para estimativas robustas de heterogeneidade; os resultados da análise por arquitetura são indicativos, não conclusivos.</w:t>
      </w:r>
    </w:p>
    <w:p>
      <w:pPr>
        <w:pStyle w:val="ListParagraph"/>
        <w:numPr>
          <w:ilvl w:val="0"/>
          <w:numId w:val="2"/>
        </w:numPr>
        <w:spacing w:before="0" w:after="120"/>
      </w:pPr>
      <w:r>
        <w:rPr>
          <w:rFonts w:ascii="Arial" w:cs="Arial" w:eastAsia="Arial" w:hAnsi="Arial"/>
          <w:sz w:val="24"/>
          <w:szCs w:val="24"/>
        </w:rPr>
        <w:t xml:space="preserve">Ausência de registro prospectivo em PROSPERO e pipeline NLP com limiar TF-IDF não diretamente reproduzível: limitações de reprodutibilidade metodológica.</w:t>
      </w:r>
    </w:p>
    <w:p>
      <w:pPr>
        <w:pStyle w:val="ListParagraph"/>
        <w:numPr>
          <w:ilvl w:val="0"/>
          <w:numId w:val="2"/>
        </w:numPr>
        <w:spacing w:before="0" w:after="120"/>
      </w:pPr>
      <w:r>
        <w:rPr>
          <w:rFonts w:ascii="Arial" w:cs="Arial" w:eastAsia="Arial" w:hAnsi="Arial"/>
          <w:sz w:val="24"/>
          <w:szCs w:val="24"/>
        </w:rPr>
        <w:t xml:space="preserve">Correção de Haldane para Noh 2026⁵ (FP=0): especificidade bruta=100,0% corrigida para 98,4% — pode introduzir ligeiro alargamento dos intervalos de confiança em amostras pequenas.</w:t>
      </w:r>
    </w:p>
    <w:p>
      <w:pPr>
        <w:pStyle w:val="ListParagraph"/>
        <w:numPr>
          <w:ilvl w:val="0"/>
          <w:numId w:val="2"/>
        </w:numPr>
        <w:spacing w:before="0" w:after="120"/>
      </w:pPr>
      <w:r>
        <w:rPr>
          <w:rFonts w:ascii="Arial" w:cs="Arial" w:eastAsia="Arial" w:hAnsi="Arial"/>
          <w:sz w:val="24"/>
          <w:szCs w:val="24"/>
        </w:rPr>
        <w:t xml:space="preserve">Funnel plot com N=7: poder insuficiente para detectar viés de publicação¹⁶ — N mínimo recomendado para este teste é de 10 estudos.</w:t>
      </w:r>
    </w:p>
    <w:p>
      <w:pPr>
        <w:pStyle w:val="ListParagraph"/>
        <w:numPr>
          <w:ilvl w:val="0"/>
          <w:numId w:val="2"/>
        </w:numPr>
        <w:spacing w:before="0" w:after="120"/>
      </w:pPr>
      <w:r>
        <w:rPr>
          <w:rFonts w:ascii="Arial" w:cs="Arial" w:eastAsia="Arial" w:hAnsi="Arial"/>
          <w:sz w:val="24"/>
          <w:szCs w:val="24"/>
        </w:rPr>
        <w:t xml:space="preserve">Ausência de comparação head-to-head com radiologistas no pool bivariado: a comparação com especialistas é inferida de estudos individuais do pool suplementar.</w:t>
      </w:r>
    </w:p>
    <w:p>
      <w:pPr>
        <w:pStyle w:val="Heading2"/>
        <w:spacing w:before="280" w:after="160"/>
      </w:pPr>
      <w:r>
        <w:rPr>
          <w:rFonts w:ascii="Arial" w:cs="Arial" w:eastAsia="Arial" w:hAnsi="Arial"/>
          <w:b/>
          <w:bCs/>
          <w:color w:val="2E5591"/>
          <w:sz w:val="26"/>
          <w:szCs w:val="26"/>
        </w:rPr>
        <w:t xml:space="preserve">4.6 Implicações Regulatórias, Éticas e de Segurança Clínica</w:t>
      </w:r>
    </w:p>
    <w:p>
      <w:pPr>
        <w:spacing w:before="0" w:after="180"/>
        <w:jc w:val="both"/>
      </w:pPr>
      <w:r>
        <w:rPr>
          <w:rFonts w:ascii="Arial" w:cs="Arial" w:eastAsia="Arial" w:hAnsi="Arial"/>
          <w:b w:val="false"/>
          <w:bCs w:val="false"/>
          <w:i w:val="false"/>
          <w:iCs w:val="false"/>
          <w:color w:val="000000"/>
          <w:sz w:val="24"/>
          <w:szCs w:val="24"/>
        </w:rPr>
        <w:t xml:space="preserve">No Brasil, dispositivos de auxílio diagnóstico baseados em inteligência artificial são classificados como SaMD (Software as a Medical Device) e estão sujeitos à regulação da ANVISA, conforme a RDC 657/2022. A ausência de estudos com aprovação regulatória formal na amostra desta meta-análise constitui uma lacuna crítica que impede a recomendação de implementação autônoma sem supervisão humana. Todos os ensaios incluídos são de natureza investigacional ou de validação retrospectiva, sem validação prospectiva multicêntrica necessária para aprovação regulatória plena.</w:t>
      </w:r>
    </w:p>
    <w:p>
      <w:pPr>
        <w:spacing w:before="0" w:after="180"/>
        <w:jc w:val="both"/>
      </w:pPr>
      <w:r>
        <w:rPr>
          <w:rFonts w:ascii="Arial" w:cs="Arial" w:eastAsia="Arial" w:hAnsi="Arial"/>
          <w:b w:val="false"/>
          <w:bCs w:val="false"/>
          <w:i w:val="false"/>
          <w:iCs w:val="false"/>
          <w:color w:val="000000"/>
          <w:sz w:val="24"/>
          <w:szCs w:val="24"/>
        </w:rPr>
        <w:t xml:space="preserve">O modelo de uso mais defensável no horizonte imediato é o de 'segundo leitor assistido', com supervisão radiológica obrigatória, preservando a responsabilidade médica dentro dos marcos legais vigentes e mitigando o risco de alucinações radiológicas não detectadas — vulnerabilidade documentada dos modelos generativos. O uso autônomo completo requer validação prospectiva multicêntrica, aprovação regulatória formal e definição clara de protocolos de escalonamento para casos limítrofes antes de qualquer implementação clínica em larga escala.</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5. Conclusão</w:t>
      </w:r>
    </w:p>
    <w:p>
      <w:pPr>
        <w:spacing w:before="0" w:after="180"/>
        <w:jc w:val="both"/>
      </w:pPr>
      <w:r>
        <w:rPr>
          <w:rFonts w:ascii="Arial" w:cs="Arial" w:eastAsia="Arial" w:hAnsi="Arial"/>
          <w:b w:val="false"/>
          <w:bCs w:val="false"/>
          <w:i w:val="false"/>
          <w:iCs w:val="false"/>
          <w:color w:val="000000"/>
          <w:sz w:val="24"/>
          <w:szCs w:val="24"/>
        </w:rPr>
        <w:t xml:space="preserve">Os achados desta meta-análise bivariada hierárquica demonstram que modelos de IA Generativa Multimodal (VLMs/LLMs) atingiram acurácia diagnóstica promissora na interpretação de radiografias de tórax, com sensibilidade agrupada de 87,9% e especificidade de 97,9% — superior ao reportado em análises preliminares baseadas em pools menores. O poder de confirmação diagnóstica (RV+=41,83) e de descarte (RV−=0,124) classifica esses modelos como ferramentas de triagem de alta utilidade clínica em cenários de emergência e triagem ambulatorial.</w:t>
      </w:r>
    </w:p>
    <w:p>
      <w:pPr>
        <w:spacing w:before="0" w:after="180"/>
        <w:jc w:val="both"/>
      </w:pPr>
      <w:r>
        <w:rPr>
          <w:rFonts w:ascii="Arial" w:cs="Arial" w:eastAsia="Arial" w:hAnsi="Arial"/>
          <w:b w:val="false"/>
          <w:bCs w:val="false"/>
          <w:i w:val="false"/>
          <w:iCs w:val="false"/>
          <w:color w:val="000000"/>
          <w:sz w:val="24"/>
          <w:szCs w:val="24"/>
        </w:rPr>
        <w:t xml:space="preserve">A implementação clínica segura requer reconhecimento das fronteiras de validade: os modelos demonstram excelência para achados de alto contraste morfológico (pneumotórax, lesão pleural), performance adequada para triagem geral de emergência e heterogeneidade substancial por condição clínica e arquitetura. O modelo de uso mais defensável é o de segundo leitor assistido com supervisão radiológica obrigatória, preservando a responsabilidade médica e garantindo a detecção de eventuais alucinações diagnósticas geradas pelos modelos.</w:t>
      </w:r>
    </w:p>
    <w:p>
      <w:pPr>
        <w:spacing w:before="0" w:after="180"/>
        <w:jc w:val="both"/>
      </w:pPr>
      <w:r>
        <w:rPr>
          <w:rFonts w:ascii="Arial" w:cs="Arial" w:eastAsia="Arial" w:hAnsi="Arial"/>
          <w:b w:val="false"/>
          <w:bCs w:val="false"/>
          <w:i w:val="false"/>
          <w:iCs w:val="false"/>
          <w:color w:val="000000"/>
          <w:sz w:val="24"/>
          <w:szCs w:val="24"/>
        </w:rPr>
        <w:t xml:space="preserve">São necessidades críticas para validação conclusiva e implementação clínica responsável: (a) padronização do relato obrigatório de dados brutos (matrizes 2×2) em publicações científicas sobre IA em radiologia; (b) condução de estudos prospectivos multicêntricos com metodologia head-to-head pareada e aprovação regulatória formal; (c) fomento ao desenvolvimento de modelos open-source maduros e clinicamente validados para democratização do acesso; e (d) disponibilização de código e pipelines de análise em repositórios abertos para garantir plena reprodutibilidade da síntese de evidências neste campo de evolução acelerada.</w:t>
      </w:r>
    </w:p>
    <w:p>
      <w:pPr>
        <w:pBdr>
          <w:bottom w:val="single" w:color="2E5591" w:sz="6" w:space="1"/>
        </w:pBdr>
        <w:spacing w:before="200" w:after="200"/>
      </w:pPr>
      <w:r>
        <w:rPr>
          <w:rFonts w:ascii="Arial" w:cs="Arial" w:eastAsia="Arial" w:hAnsi="Arial"/>
          <w:sz w:val="4"/>
          <w:szCs w:val="4"/>
        </w:rPr>
        <w:t xml:space="preserve"/>
      </w:r>
    </w:p>
    <w:p>
      <w:pPr>
        <w:pStyle w:val="Heading1"/>
        <w:spacing w:before="400" w:after="200"/>
      </w:pPr>
      <w:r>
        <w:rPr>
          <w:rFonts w:ascii="Arial" w:cs="Arial" w:eastAsia="Arial" w:hAnsi="Arial"/>
          <w:b/>
          <w:bCs/>
          <w:color w:val="1F3864"/>
          <w:sz w:val="28"/>
          <w:szCs w:val="28"/>
        </w:rPr>
        <w:t xml:space="preserve">Referências</w:t>
      </w:r>
    </w:p>
    <w:p>
      <w:pPr>
        <w:spacing w:before="0" w:after="120"/>
        <w:ind w:left="720" w:hanging="360"/>
      </w:pPr>
      <w:r>
        <w:rPr>
          <w:rFonts w:ascii="Arial" w:cs="Arial" w:eastAsia="Arial" w:hAnsi="Arial"/>
          <w:color w:val="202020"/>
          <w:sz w:val="22"/>
          <w:szCs w:val="22"/>
        </w:rPr>
        <w:t xml:space="preserve">1. van Ginneken B. Fifty years of computer analysis in chest imaging: rule-based, machine learning, deep learning. Radiol Phys Technol. 2017;10(1):23–32.</w:t>
      </w:r>
    </w:p>
    <w:p>
      <w:pPr>
        <w:spacing w:before="0" w:after="120"/>
        <w:ind w:left="720" w:hanging="360"/>
      </w:pPr>
      <w:r>
        <w:rPr>
          <w:rFonts w:ascii="Arial" w:cs="Arial" w:eastAsia="Arial" w:hAnsi="Arial"/>
          <w:color w:val="202020"/>
          <w:sz w:val="22"/>
          <w:szCs w:val="22"/>
        </w:rPr>
        <w:t xml:space="preserve">2. Parikh JR, Van Moore A, Mead L, Bassett R, Rubin E. Prevalence of burnout of radiologists in private practice. J Am Coll Radiol. 2023;20(7):712–718.</w:t>
      </w:r>
    </w:p>
    <w:p>
      <w:pPr>
        <w:spacing w:before="0" w:after="120"/>
        <w:ind w:left="720" w:hanging="360"/>
      </w:pPr>
      <w:r>
        <w:rPr>
          <w:rFonts w:ascii="Arial" w:cs="Arial" w:eastAsia="Arial" w:hAnsi="Arial"/>
          <w:color w:val="202020"/>
          <w:sz w:val="22"/>
          <w:szCs w:val="22"/>
        </w:rPr>
        <w:t xml:space="preserve">3. McInnes MDF, Moher D, Thombs BD, McGrath TA, Bossuyt PMM; PRISMA-DTA Group. Preferred Reporting Items for a Systematic Review and Meta-analysis of Diagnostic Test Accuracy Studies: The PRISMA-DTA Statement. JAMA. 2018;319(4):388–396.</w:t>
      </w:r>
    </w:p>
    <w:p>
      <w:pPr>
        <w:spacing w:before="0" w:after="120"/>
        <w:ind w:left="720" w:hanging="360"/>
      </w:pPr>
      <w:r>
        <w:rPr>
          <w:rFonts w:ascii="Arial" w:cs="Arial" w:eastAsia="Arial" w:hAnsi="Arial"/>
          <w:color w:val="202020"/>
          <w:sz w:val="22"/>
          <w:szCs w:val="22"/>
        </w:rPr>
        <w:t xml:space="preserve">4. Whiting PF, Rutjes AWS, Westwood ME, Mallett S, Deeks JJ, Reitsma JB, et al. QUADAS-2: a revised tool for the quality assessment of diagnostic accuracy studies. Ann Intern Med. 2011;155(8):529–536.</w:t>
      </w:r>
    </w:p>
    <w:p>
      <w:pPr>
        <w:spacing w:before="0" w:after="120"/>
        <w:ind w:left="720" w:hanging="360"/>
      </w:pPr>
      <w:r>
        <w:rPr>
          <w:rFonts w:ascii="Arial" w:cs="Arial" w:eastAsia="Arial" w:hAnsi="Arial"/>
          <w:color w:val="202020"/>
          <w:sz w:val="22"/>
          <w:szCs w:val="22"/>
        </w:rPr>
        <w:t xml:space="preserve">5. Noh J, Park HY, Kim JH, et al. Synthetic Enhancement of Pneumothorax Detection via Generative AI. J Am Coll Radiol. 2026. PMID:41714574.</w:t>
      </w:r>
    </w:p>
    <w:p>
      <w:pPr>
        <w:spacing w:before="0" w:after="120"/>
        <w:ind w:left="720" w:hanging="360"/>
      </w:pPr>
      <w:r>
        <w:rPr>
          <w:rFonts w:ascii="Arial" w:cs="Arial" w:eastAsia="Arial" w:hAnsi="Arial"/>
          <w:color w:val="202020"/>
          <w:sz w:val="22"/>
          <w:szCs w:val="22"/>
        </w:rPr>
        <w:t xml:space="preserve">6. Reitsma JB, Glas AS, Rutjes AWS, Scholten RJPM, Bossuyt PM, Zwinderman AH. Bivariate analysis of sensitivity and specificity produces informative summary measures in diagnostic reviews. J Clin Epidemiol. 2005;58(10):1082–1088.</w:t>
      </w:r>
    </w:p>
    <w:p>
      <w:pPr>
        <w:spacing w:before="0" w:after="120"/>
        <w:ind w:left="720" w:hanging="360"/>
      </w:pPr>
      <w:r>
        <w:rPr>
          <w:rFonts w:ascii="Arial" w:cs="Arial" w:eastAsia="Arial" w:hAnsi="Arial"/>
          <w:color w:val="202020"/>
          <w:sz w:val="22"/>
          <w:szCs w:val="22"/>
        </w:rPr>
        <w:t xml:space="preserve">7. Hong EK, Kim JY, Lee HY, et al. Diagnostic Accuracy and Clinical Value of a Domain-specific Multimodal Generative AI Model for Chest Radiograph Report Generation. Radiology. 2025. doi:10.1148/radiol.241476.</w:t>
      </w:r>
    </w:p>
    <w:p>
      <w:pPr>
        <w:spacing w:before="0" w:after="120"/>
        <w:ind w:left="720" w:hanging="360"/>
      </w:pPr>
      <w:r>
        <w:rPr>
          <w:rFonts w:ascii="Arial" w:cs="Arial" w:eastAsia="Arial" w:hAnsi="Arial"/>
          <w:color w:val="202020"/>
          <w:sz w:val="22"/>
          <w:szCs w:val="22"/>
        </w:rPr>
        <w:t xml:space="preserve">8. Hong EK, Kim JY, Lee HY, et al. Multimodal Generative Artificial Intelligence Model for Creating Radiology Reports for Chest Radiographs in Patients Undergoing Tuberculosis Screening. AJR Am J Roentgenol. 2025. doi:10.2214/AJR.25.33059.</w:t>
      </w:r>
    </w:p>
    <w:p>
      <w:pPr>
        <w:spacing w:before="0" w:after="120"/>
        <w:ind w:left="720" w:hanging="360"/>
      </w:pPr>
      <w:r>
        <w:rPr>
          <w:rFonts w:ascii="Arial" w:cs="Arial" w:eastAsia="Arial" w:hAnsi="Arial"/>
          <w:color w:val="202020"/>
          <w:sz w:val="22"/>
          <w:szCs w:val="22"/>
        </w:rPr>
        <w:t xml:space="preserve">9. Hong EK, Kim JY, Lee HY, et al. Value of Using a Generative AI Model in Chest Radiography Reporting: A Reader Study. Radiology. 2025. doi:10.1148/radiol.241646.</w:t>
      </w:r>
    </w:p>
    <w:p>
      <w:pPr>
        <w:spacing w:before="0" w:after="120"/>
        <w:ind w:left="720" w:hanging="360"/>
      </w:pPr>
      <w:r>
        <w:rPr>
          <w:rFonts w:ascii="Arial" w:cs="Arial" w:eastAsia="Arial" w:hAnsi="Arial"/>
          <w:color w:val="202020"/>
          <w:sz w:val="22"/>
          <w:szCs w:val="22"/>
        </w:rPr>
        <w:t xml:space="preserve">10. Ostrovsky AM. Evaluating a large language model's accuracy in chest X-ray interpretation for acute thoracic conditions. Am J Emerg Med. 2025. doi:10.1016/j.ajem.2025.03.060.</w:t>
      </w:r>
    </w:p>
    <w:p>
      <w:pPr>
        <w:spacing w:before="0" w:after="120"/>
        <w:ind w:left="720" w:hanging="360"/>
      </w:pPr>
      <w:r>
        <w:rPr>
          <w:rFonts w:ascii="Arial" w:cs="Arial" w:eastAsia="Arial" w:hAnsi="Arial"/>
          <w:color w:val="202020"/>
          <w:sz w:val="22"/>
          <w:szCs w:val="22"/>
        </w:rPr>
        <w:t xml:space="preserve">11. Huang J, Neill L, Wittbrodt M, et al. Generative Artificial Intelligence for Chest Radiograph Interpretation in the Emergency Department. JAMA Netw Open. 2023;6(10):e2336100. PMID:37796505.</w:t>
      </w:r>
    </w:p>
    <w:p>
      <w:pPr>
        <w:spacing w:before="0" w:after="120"/>
        <w:ind w:left="720" w:hanging="360"/>
      </w:pPr>
      <w:r>
        <w:rPr>
          <w:rFonts w:ascii="Arial" w:cs="Arial" w:eastAsia="Arial" w:hAnsi="Arial"/>
          <w:color w:val="202020"/>
          <w:sz w:val="22"/>
          <w:szCs w:val="22"/>
        </w:rPr>
        <w:t xml:space="preserve">12. Huang J, Moor M, Banerjee O, et al. Efficiency and Quality of Generative AI-Assisted Radiograph Reporting. JAMA Netw Open. 2025;8(4):e256797. doi:10.1001/jamanetworkopen.2025.13921.</w:t>
      </w:r>
    </w:p>
    <w:p>
      <w:pPr>
        <w:spacing w:before="0" w:after="120"/>
        <w:ind w:left="720" w:hanging="360"/>
      </w:pPr>
      <w:r>
        <w:rPr>
          <w:rFonts w:ascii="Arial" w:cs="Arial" w:eastAsia="Arial" w:hAnsi="Arial"/>
          <w:color w:val="202020"/>
          <w:sz w:val="22"/>
          <w:szCs w:val="22"/>
        </w:rPr>
        <w:t xml:space="preserve">13. Gunes YC, Cesur T. The Diagnostic Performance of Large Language Models and General Radiologists in Thoracic Radiology Cases: A Comparative Study. J Thorac Imaging. 2025. doi:10.1097/RTI.0000000000000805.</w:t>
      </w:r>
    </w:p>
    <w:p>
      <w:pPr>
        <w:spacing w:before="0" w:after="120"/>
        <w:ind w:left="720" w:hanging="360"/>
      </w:pPr>
      <w:r>
        <w:rPr>
          <w:rFonts w:ascii="Arial" w:cs="Arial" w:eastAsia="Arial" w:hAnsi="Arial"/>
          <w:color w:val="202020"/>
          <w:sz w:val="22"/>
          <w:szCs w:val="22"/>
        </w:rPr>
        <w:t xml:space="preserve">14. Lee S, Seo JB, Kim N, et al. CXR-LLaVA: a multimodal large language model for interpreting chest X-ray images. Eur Radiol. 2025. doi:10.1007/s00330-024-11339-6.</w:t>
      </w:r>
    </w:p>
    <w:p>
      <w:pPr>
        <w:spacing w:before="0" w:after="120"/>
        <w:ind w:left="720" w:hanging="360"/>
      </w:pPr>
      <w:r>
        <w:rPr>
          <w:rFonts w:ascii="Arial" w:cs="Arial" w:eastAsia="Arial" w:hAnsi="Arial"/>
          <w:color w:val="202020"/>
          <w:sz w:val="22"/>
          <w:szCs w:val="22"/>
        </w:rPr>
        <w:t xml:space="preserve">15. Tanno R, Barrett DGT, Sellergren A, et al. Consensus, dissensus and uncertainty in medical AI. Nature Medicine. 2025. doi:10.1038/s41591-024-03302-1.</w:t>
      </w:r>
    </w:p>
    <w:p>
      <w:pPr>
        <w:spacing w:before="0" w:after="120"/>
        <w:ind w:left="720" w:hanging="360"/>
      </w:pPr>
      <w:r>
        <w:rPr>
          <w:rFonts w:ascii="Arial" w:cs="Arial" w:eastAsia="Arial" w:hAnsi="Arial"/>
          <w:color w:val="202020"/>
          <w:sz w:val="22"/>
          <w:szCs w:val="22"/>
        </w:rPr>
        <w:t xml:space="preserve">16. Takwoingi Y, Guo B, Riley RD, Deeks JJ. Performance of methods for meta-analysis of diagnostic test accuracy with few studies or sparse data. Stat Methods Med Res. 2017;26(4):1896–1911.</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08080"/>
        <w:sz w:val="18"/>
        <w:szCs w:val="18"/>
      </w:rPr>
      <w:t xml:space="preserve">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1" w:sz="4" w:space="1"/>
      </w:pBdr>
      <w:jc w:val="right"/>
    </w:pPr>
    <w:r>
      <w:rPr>
        <w:rFonts w:ascii="Arial" w:cs="Arial" w:eastAsia="Arial" w:hAnsi="Arial"/>
        <w:color w:val="808080"/>
        <w:sz w:val="18"/>
        <w:szCs w:val="18"/>
      </w:rPr>
      <w:t xml:space="preserve">IA Generativa em Radiografia de Tórax — PRISMA-DTA | v9 Auditado | Vancouver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559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2026-03-19T02:29:42.393Z</dcterms:created>
  <dcterms:modified xsi:type="dcterms:W3CDTF">2026-03-19T02:29:42.394Z</dcterms:modified>
</cp:coreProperties>
</file>

<file path=docProps/custom.xml><?xml version="1.0" encoding="utf-8"?>
<Properties xmlns="http://schemas.openxmlformats.org/officeDocument/2006/custom-properties" xmlns:vt="http://schemas.openxmlformats.org/officeDocument/2006/docPropsVTypes"/>
</file>