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Georgia" w:cs="Georgia" w:eastAsia="Georgia" w:hAnsi="Georgia"/>
          <w:b/>
          <w:bCs/>
          <w:color w:val="1a365d"/>
          <w:sz w:val="72"/>
          <w:szCs w:val="72"/>
        </w:rPr>
        <w:t xml:space="preserve">ROCKY MOUNT</w:t>
      </w:r>
    </w:p>
    <w:p>
      <w:pPr>
        <w:spacing w:after="400"/>
        <w:jc w:val="center"/>
      </w:pPr>
      <w:r>
        <w:rPr>
          <w:rFonts w:ascii="Georgia" w:cs="Georgia" w:eastAsia="Georgia" w:hAnsi="Georgia"/>
          <w:color w:val="4a5568"/>
          <w:sz w:val="28"/>
          <w:szCs w:val="28"/>
        </w:rPr>
        <w:t xml:space="preserve">STATE HISTORIC SITE</w:t>
      </w:r>
    </w:p>
    <w:p>
      <w:pPr>
        <w:spacing w:after="200"/>
        <w:jc w:val="center"/>
      </w:pPr>
      <w:r>
        <w:rPr>
          <w:rFonts w:ascii="Georgia" w:cs="Georgia" w:eastAsia="Georgia" w:hAnsi="Georgia"/>
          <w:b/>
          <w:bCs/>
          <w:color w:val="2c5282"/>
          <w:sz w:val="36"/>
          <w:szCs w:val="36"/>
        </w:rPr>
        <w:t xml:space="preserve">MASTER SOURCE OF TRUTH</w:t>
      </w:r>
    </w:p>
    <w:p>
      <w:pPr>
        <w:spacing w:after="600"/>
        <w:jc w:val="center"/>
      </w:pPr>
      <w:r>
        <w:rPr>
          <w:rFonts w:ascii="Georgia" w:cs="Georgia" w:eastAsia="Georgia" w:hAnsi="Georgia"/>
          <w:i/>
          <w:iCs/>
          <w:color w:val="1a365d"/>
          <w:sz w:val="48"/>
          <w:szCs w:val="48"/>
        </w:rPr>
        <w:t xml:space="preserve">The Ground Endures</w:t>
      </w:r>
    </w:p>
    <w:p>
      <w:pPr>
        <w:spacing w:after="100"/>
        <w:jc w:val="center"/>
      </w:pPr>
      <w:r>
        <w:rPr>
          <w:rFonts w:ascii="Georgia" w:cs="Georgia" w:eastAsia="Georgia" w:hAnsi="Georgia"/>
          <w:color w:val="718096"/>
          <w:sz w:val="28"/>
          <w:szCs w:val="28"/>
        </w:rPr>
        <w:t xml:space="preserve">Director's Final Version</w:t>
      </w:r>
    </w:p>
    <w:p>
      <w:pPr>
        <w:spacing w:after="400"/>
        <w:jc w:val="center"/>
      </w:pPr>
      <w:r>
        <w:rPr>
          <w:rFonts w:ascii="Georgia" w:cs="Georgia" w:eastAsia="Georgia" w:hAnsi="Georgia"/>
          <w:color w:val="718096"/>
          <w:sz w:val="24"/>
          <w:szCs w:val="24"/>
        </w:rPr>
        <w:t xml:space="preserve">January 2026 | Version 4.0</w:t>
      </w:r>
    </w:p>
    <w:p>
      <w:pPr>
        <w:spacing w:after="100"/>
        <w:jc w:val="center"/>
      </w:pPr>
      <w:r>
        <w:rPr>
          <w:color w:val="4a5568"/>
          <w:sz w:val="20"/>
          <w:szCs w:val="20"/>
        </w:rPr>
        <w:t xml:space="preserve">Strategic Messaging | Website Copy | Interpretive Scripts</w:t>
      </w:r>
    </w:p>
    <w:p>
      <w:pPr>
        <w:spacing w:after="100"/>
        <w:jc w:val="center"/>
      </w:pPr>
      <w:r>
        <w:rPr>
          <w:color w:val="4a5568"/>
          <w:sz w:val="20"/>
          <w:szCs w:val="20"/>
        </w:rPr>
        <w:t xml:space="preserve">Signage Language | Press Kit | Staff Training | Implementation Guide</w:t>
      </w:r>
    </w:p>
    <w:p>
      <w:pPr>
        <w:spacing w:after="200"/>
        <w:jc w:val="center"/>
      </w:pPr>
      <w:r>
        <w:rPr>
          <w:i/>
          <w:iCs/>
          <w:color w:val="718096"/>
          <w:sz w:val="20"/>
          <w:szCs w:val="20"/>
        </w:rPr>
        <w:t xml:space="preserve">Fact-Checked | Brand-Aligned | Implementation-Ready</w:t>
      </w:r>
    </w:p>
    <w:p>
      <w:r>
        <w:br w:type="page"/>
      </w:r>
    </w:p>
    <w:p>
      <w:pPr>
        <w:pStyle w:val="Heading1"/>
      </w:pPr>
      <w:r>
        <w:t xml:space="preserve">The Elevator Pitch</w:t>
      </w:r>
    </w:p>
    <w:p>
      <w:pPr>
        <w:shd w:fill="1a365d" w:val="clear"/>
        <w:spacing w:before="200" w:after="400"/>
        <w:jc w:val="center"/>
      </w:pPr>
      <w:r>
        <w:rPr>
          <w:i/>
          <w:iCs/>
          <w:color w:val="FFFFFF"/>
          <w:sz w:val="28"/>
          <w:szCs w:val="28"/>
        </w:rPr>
        <w:t xml:space="preserve">Rocky Mount is where Tennessee's government began. The ground is the artifact. The house is the proof. Stand where they stood.</w:t>
      </w:r>
    </w:p>
    <w:p>
      <w:pPr>
        <w:pStyle w:val="Heading2"/>
      </w:pPr>
      <w:r>
        <w:t xml:space="preserve">The Core Insight</w:t>
      </w:r>
    </w:p>
    <w:p>
      <w:pPr>
        <w:shd w:fill="EBF8FF" w:val="clear"/>
        <w:spacing w:after="300"/>
      </w:pPr>
      <w:r>
        <w:rPr>
          <w:i/>
          <w:iCs/>
          <w:sz w:val="24"/>
          <w:szCs w:val="24"/>
        </w:rPr>
        <w:t xml:space="preserve">The ground is inarguable. Dendrochronology can date a building. Nobody can dispute that the land is the same land. The dirt Blount walked on is the dirt visitors walk on.</w:t>
      </w:r>
    </w:p>
    <w:p>
      <w:pPr>
        <w:pStyle w:val="Heading2"/>
      </w:pPr>
      <w:r>
        <w:t xml:space="preserve">The Through-Line</w:t>
      </w:r>
    </w:p>
    <w:p>
      <w:pPr>
        <w:spacing w:after="400"/>
        <w:jc w:val="center"/>
      </w:pPr>
      <w:r>
        <w:rPr>
          <w:b/>
          <w:bCs/>
          <w:i/>
          <w:iCs/>
          <w:color w:val="1a365d"/>
          <w:sz w:val="32"/>
          <w:szCs w:val="32"/>
        </w:rPr>
        <w:t xml:space="preserve">The buildings evolved. The ground endures. Tennessee started here.</w:t>
      </w:r>
    </w:p>
    <w:p>
      <w:pPr>
        <w:pStyle w:val="Heading1"/>
      </w:pPr>
      <w:r>
        <w:t xml:space="preserve">The Problem</w:t>
      </w:r>
    </w:p>
    <w:p>
      <w:pPr>
        <w:pStyle w:val="ListParagraph"/>
        <w:numPr>
          <w:ilvl w:val="0"/>
          <w:numId w:val="2"/>
        </w:numPr>
      </w:pPr>
      <w:r>
        <w:rPr>
          <w:sz w:val="22"/>
          <w:szCs w:val="22"/>
        </w:rPr>
        <w:t xml:space="preserve">Dendrochronology proves the main house dates to 1827-1830, not 1770.</w:t>
      </w:r>
    </w:p>
    <w:p>
      <w:pPr>
        <w:pStyle w:val="ListParagraph"/>
        <w:numPr>
          <w:ilvl w:val="0"/>
          <w:numId w:val="2"/>
        </w:numPr>
      </w:pPr>
      <w:r>
        <w:rPr>
          <w:sz w:val="22"/>
          <w:szCs w:val="22"/>
        </w:rPr>
        <w:t xml:space="preserve">"First Western Capital" claims are challenged by Marietta, Ohio (1788).</w:t>
      </w:r>
    </w:p>
    <w:p>
      <w:pPr>
        <w:pStyle w:val="ListParagraph"/>
        <w:numPr>
          <w:ilvl w:val="0"/>
          <w:numId w:val="2"/>
        </w:numPr>
      </w:pPr>
      <w:r>
        <w:rPr>
          <w:sz w:val="22"/>
          <w:szCs w:val="22"/>
        </w:rPr>
        <w:t xml:space="preserve">We are often confused with Sycamore Shoals (military muster) or Exchange Place (frontier lifestyle).</w:t>
      </w:r>
    </w:p>
    <w:p>
      <w:pPr>
        <w:pStyle w:val="Heading1"/>
      </w:pPr>
      <w:r>
        <w:t xml:space="preserve">The Solution</w:t>
      </w:r>
    </w:p>
    <w:p>
      <w:pPr>
        <w:spacing w:after="200"/>
        <w:jc w:val="left"/>
      </w:pPr>
      <w:r>
        <w:rPr>
          <w:sz w:val="24"/>
          <w:szCs w:val="24"/>
        </w:rPr>
        <w:t xml:space="preserve">We shift the "artifact status" from the logs to the land. This is the Gettysburg Principle: Nobody asks what year the Gettysburg Visitor Center was built; they come to stand on the ground.</w:t>
      </w:r>
    </w:p>
    <w:p>
      <w:pPr>
        <w:pStyle w:val="Heading2"/>
      </w:pPr>
      <w:r>
        <w:t xml:space="preserve">The Blue Ocean Lane</w:t>
      </w:r>
    </w:p>
    <w:p>
      <w:pPr>
        <w:shd w:fill="F0FFF4" w:val="clear"/>
        <w:spacing w:before="100" w:after="300"/>
      </w:pPr>
      <w:r>
        <w:rPr>
          <w:b/>
          <w:bCs/>
          <w:i/>
          <w:iCs/>
          <w:sz w:val="24"/>
          <w:szCs w:val="24"/>
        </w:rPr>
        <w:t xml:space="preserve">Sycamore Shoals owns the muster. Exchange Place owns the farm. Rocky Mount owns the statehouse. They provided the muscle; we provided the mind. We are the other half of the origin story.</w:t>
      </w:r>
    </w:p>
    <w:p>
      <w:r>
        <w:br w:type="page"/>
      </w:r>
    </w:p>
    <w:p>
      <w:pPr>
        <w:pStyle w:val="Heading1"/>
      </w:pPr>
      <w:r>
        <w:t xml:space="preserve">The Three-Tier Framework</w:t>
      </w:r>
    </w:p>
    <w:p>
      <w:pPr>
        <w:spacing w:after="200"/>
        <w:jc w:val="left"/>
      </w:pPr>
      <w:r>
        <w:rPr>
          <w:sz w:val="24"/>
          <w:szCs w:val="24"/>
        </w:rPr>
        <w:t xml:space="preserve">We categorize our marketing into three distinct tiers based on the Curiosity / Prestige / Urgency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TIER</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PLAN NAME</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GOAL</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PRIMARY USE</w:t>
            </w:r>
          </w:p>
        </w:tc>
      </w:tr>
      <w:tr>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color w:val="000000"/>
                <w:sz w:val="22"/>
                <w:szCs w:val="22"/>
              </w:rPr>
              <w:t xml:space="preserve">CURIOSITY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Mystery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Get the click/visit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Website, Social, Billboards</w:t>
            </w:r>
          </w:p>
        </w:tc>
      </w:tr>
      <w:tr>
        <w:tc>
          <w:tcPr>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color w:val="000000"/>
                <w:sz w:val="22"/>
                <w:szCs w:val="22"/>
              </w:rPr>
              <w:t xml:space="preserve">PRESTIGE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Authority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Secure the legacy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Grants, Press, Academic</w:t>
            </w:r>
          </w:p>
        </w:tc>
      </w:tr>
      <w:tr>
        <w:tc>
          <w:tcPr>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b/>
                <w:bCs/>
                <w:color w:val="000000"/>
                <w:sz w:val="22"/>
                <w:szCs w:val="22"/>
              </w:rPr>
              <w:t xml:space="preserve">URGENCY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Scarcity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Sell 2026 tickets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Email, 2026 Campaign Ads</w:t>
            </w:r>
          </w:p>
        </w:tc>
      </w:tr>
    </w:tbl>
    <w:p>
      <w:r>
        <w:br w:type="page"/>
      </w:r>
    </w:p>
    <w:p>
      <w:pPr>
        <w:pStyle w:val="Heading1"/>
      </w:pPr>
      <w:r>
        <w:t xml:space="preserve">Plan A: The Mystery</w:t>
      </w:r>
    </w:p>
    <w:p>
      <w:pPr>
        <w:shd w:fill="F0FFF4" w:val="clear"/>
        <w:spacing w:after="200"/>
      </w:pPr>
      <w:r>
        <w:rPr>
          <w:b/>
          <w:bCs/>
          <w:sz w:val="24"/>
          <w:szCs w:val="24"/>
        </w:rPr>
        <w:t xml:space="preserve">Score: 24/25 | Best For: Permanent brand, all audiences, website default</w:t>
      </w:r>
    </w:p>
    <w:p>
      <w:pPr>
        <w:pStyle w:val="Heading2"/>
      </w:pPr>
      <w:r>
        <w:t xml:space="preserve">Welcome Screen</w:t>
      </w:r>
    </w:p>
    <w:p>
      <w:pPr>
        <w:shd w:fill="1a365d" w:val="clear"/>
        <w:spacing w:after="50"/>
        <w:jc w:val="center"/>
      </w:pPr>
      <w:r>
        <w:rPr>
          <w:i/>
          <w:iCs/>
          <w:color w:val="FFFFFF"/>
          <w:sz w:val="28"/>
          <w:szCs w:val="28"/>
        </w:rPr>
        <w:t xml:space="preserve">Before there was a Tennessee, there was this ground.</w:t>
      </w:r>
    </w:p>
    <w:p>
      <w:pPr>
        <w:shd w:fill="1a365d" w:val="clear"/>
        <w:spacing w:after="50"/>
        <w:jc w:val="center"/>
      </w:pPr>
      <w:r>
        <w:rPr>
          <w:b/>
          <w:bCs/>
          <w:color w:val="F6E05E"/>
          <w:sz w:val="40"/>
          <w:szCs w:val="40"/>
        </w:rPr>
        <w:t xml:space="preserve">1770</w:t>
      </w:r>
    </w:p>
    <w:p>
      <w:pPr>
        <w:shd w:fill="1a365d" w:val="clear"/>
        <w:spacing w:after="50"/>
        <w:jc w:val="center"/>
      </w:pPr>
      <w:r>
        <w:rPr>
          <w:color w:val="A0AEC0"/>
          <w:sz w:val="20"/>
          <w:szCs w:val="20"/>
        </w:rPr>
        <w:t xml:space="preserve">William Cobb  |  Piney Flats  |  Sullivan County</w:t>
      </w:r>
    </w:p>
    <w:p>
      <w:pPr>
        <w:shd w:fill="1a365d" w:val="clear"/>
        <w:spacing w:after="50"/>
        <w:jc w:val="center"/>
      </w:pPr>
      <w:r>
        <w:rPr>
          <w:b/>
          <w:bCs/>
          <w:color w:val="FFFFFF"/>
          <w:sz w:val="36"/>
          <w:szCs w:val="36"/>
        </w:rPr>
        <w:t xml:space="preserve">ROCKY MOUNT</w:t>
      </w:r>
    </w:p>
    <w:p>
      <w:pPr>
        <w:shd w:fill="1a365d" w:val="clear"/>
        <w:spacing w:after="50"/>
        <w:jc w:val="center"/>
      </w:pPr>
      <w:r>
        <w:rPr>
          <w:i/>
          <w:iCs/>
          <w:color w:val="FFFFFF"/>
          <w:sz w:val="26"/>
          <w:szCs w:val="26"/>
        </w:rPr>
        <w:t xml:space="preserve">Tennessee Starts Here</w:t>
      </w:r>
    </w:p>
    <w:p>
      <w:pPr>
        <w:shd w:fill="1a365d" w:val="clear"/>
        <w:spacing w:after="300"/>
        <w:jc w:val="center"/>
      </w:pPr>
      <w:r>
        <w:rPr>
          <w:b/>
          <w:bCs/>
          <w:color w:val="F6E05E"/>
          <w:sz w:val="22"/>
          <w:szCs w:val="22"/>
        </w:rPr>
        <w:t xml:space="preserve">[ STAND WHERE THEY STOOD ]</w:t>
      </w:r>
    </w:p>
    <w:p>
      <w:pPr>
        <w:pStyle w:val="Heading2"/>
      </w:pPr>
      <w:r>
        <w:t xml:space="preserve">Home Hero</w:t>
      </w:r>
    </w:p>
    <w:p>
      <w:pPr>
        <w:shd w:fill="F7FAFC" w:val="clear"/>
        <w:spacing w:after="50"/>
      </w:pPr>
      <w:r>
        <w:rPr>
          <w:color w:val="718096"/>
          <w:sz w:val="18"/>
          <w:szCs w:val="18"/>
        </w:rPr>
        <w:t xml:space="preserve">Tennessee 230  |  America 250</w:t>
      </w:r>
    </w:p>
    <w:p>
      <w:pPr>
        <w:shd w:fill="F7FAFC" w:val="clear"/>
        <w:spacing w:after="50"/>
      </w:pPr>
      <w:r>
        <w:rPr>
          <w:b/>
          <w:bCs/>
          <w:sz w:val="40"/>
          <w:szCs w:val="40"/>
        </w:rPr>
        <w:t xml:space="preserve">ROCKY MOUNT</w:t>
      </w:r>
    </w:p>
    <w:p>
      <w:pPr>
        <w:shd w:fill="F7FAFC" w:val="clear"/>
        <w:spacing w:after="150"/>
      </w:pPr>
      <w:r>
        <w:rPr>
          <w:i/>
          <w:iCs/>
          <w:sz w:val="28"/>
          <w:szCs w:val="28"/>
        </w:rPr>
        <w:t xml:space="preserve">Where Tennessee's government began.</w:t>
      </w:r>
    </w:p>
    <w:p>
      <w:pPr>
        <w:shd w:fill="F7FAFC" w:val="clear"/>
        <w:spacing w:after="50"/>
      </w:pPr>
      <w:r>
        <w:rPr>
          <w:sz w:val="24"/>
          <w:szCs w:val="24"/>
        </w:rPr>
        <w:t xml:space="preserve">In 1770, the Cobbs settled this ground.</w:t>
      </w:r>
    </w:p>
    <w:p>
      <w:pPr>
        <w:shd w:fill="F7FAFC" w:val="clear"/>
        <w:spacing w:after="50"/>
      </w:pPr>
      <w:r>
        <w:rPr>
          <w:sz w:val="24"/>
          <w:szCs w:val="24"/>
        </w:rPr>
        <w:t xml:space="preserve">In 1780, they armed the Revolution.</w:t>
      </w:r>
    </w:p>
    <w:p>
      <w:pPr>
        <w:shd w:fill="F7FAFC" w:val="clear"/>
        <w:spacing w:after="150"/>
      </w:pPr>
      <w:r>
        <w:rPr>
          <w:sz w:val="24"/>
          <w:szCs w:val="24"/>
        </w:rPr>
        <w:t xml:space="preserve">In 1790, Governor Blount made it the seat of federal power.</w:t>
      </w:r>
    </w:p>
    <w:p>
      <w:pPr>
        <w:shd w:fill="FFF5F5" w:val="clear"/>
        <w:spacing w:after="150"/>
      </w:pPr>
      <w:r>
        <w:rPr>
          <w:b/>
          <w:bCs/>
          <w:i/>
          <w:iCs/>
          <w:sz w:val="24"/>
          <w:szCs w:val="24"/>
        </w:rPr>
        <w:t xml:space="preserve">This is not where they gathered. This is not where they farmed. This is where they governed.</w:t>
      </w:r>
    </w:p>
    <w:p>
      <w:pPr>
        <w:shd w:fill="F7FAFC" w:val="clear"/>
        <w:spacing w:after="150"/>
      </w:pPr>
      <w:r>
        <w:rPr>
          <w:i/>
          <w:iCs/>
          <w:sz w:val="24"/>
          <w:szCs w:val="24"/>
        </w:rPr>
        <w:t xml:space="preserve">For 18 months, this was the seat of power for everything that would become Tennessee.</w:t>
      </w:r>
    </w:p>
    <w:p>
      <w:pPr>
        <w:shd w:fill="F7FAFC" w:val="clear"/>
        <w:spacing w:after="100"/>
      </w:pPr>
      <w:r>
        <w:rPr>
          <w:b/>
          <w:bCs/>
          <w:sz w:val="28"/>
          <w:szCs w:val="28"/>
        </w:rPr>
        <w:t xml:space="preserve">Stand where they stood.</w:t>
      </w:r>
    </w:p>
    <w:p>
      <w:pPr>
        <w:shd w:fill="F7FAFC" w:val="clear"/>
        <w:spacing w:after="300"/>
      </w:pPr>
      <w:r>
        <w:rPr>
          <w:sz w:val="20"/>
          <w:szCs w:val="20"/>
        </w:rPr>
        <w:t xml:space="preserve">[ Plan Your Visit ]    [ Join the First 250 ]</w:t>
      </w:r>
    </w:p>
    <w:p>
      <w:pPr>
        <w:pStyle w:val="Heading2"/>
      </w:pPr>
      <w:r>
        <w:t xml:space="preserve">Why Plan A Wins</w:t>
      </w:r>
    </w:p>
    <w:p>
      <w:pPr>
        <w:pStyle w:val="ListParagraph"/>
        <w:numPr>
          <w:ilvl w:val="0"/>
          <w:numId w:val="2"/>
        </w:numPr>
      </w:pPr>
      <w:r>
        <w:rPr>
          <w:sz w:val="22"/>
          <w:szCs w:val="22"/>
        </w:rPr>
        <w:t xml:space="preserve">Mystery creates a "knowledge gap" that forces the visitor to ask: "What happened on this ground?"</w:t>
      </w:r>
    </w:p>
    <w:p>
      <w:pPr>
        <w:pStyle w:val="ListParagraph"/>
        <w:numPr>
          <w:ilvl w:val="0"/>
          <w:numId w:val="2"/>
        </w:numPr>
      </w:pPr>
      <w:r>
        <w:rPr>
          <w:sz w:val="22"/>
          <w:szCs w:val="22"/>
        </w:rPr>
        <w:t xml:space="preserve">Hook asks the question; brand answers it (Question → Answer narrative flow)</w:t>
      </w:r>
    </w:p>
    <w:p>
      <w:pPr>
        <w:pStyle w:val="ListParagraph"/>
        <w:numPr>
          <w:ilvl w:val="0"/>
          <w:numId w:val="2"/>
        </w:numPr>
      </w:pPr>
      <w:r>
        <w:rPr>
          <w:sz w:val="22"/>
          <w:szCs w:val="22"/>
        </w:rPr>
        <w:t xml:space="preserve">Clean narrative arc: Settled → Armed → Governed</w:t>
      </w:r>
    </w:p>
    <w:p>
      <w:pPr>
        <w:pStyle w:val="ListParagraph"/>
        <w:numPr>
          <w:ilvl w:val="0"/>
          <w:numId w:val="2"/>
        </w:numPr>
      </w:pPr>
      <w:r>
        <w:rPr>
          <w:sz w:val="22"/>
          <w:szCs w:val="22"/>
        </w:rPr>
        <w:t xml:space="preserve">"Stand where they stood" is participatory, not observational</w:t>
      </w:r>
    </w:p>
    <w:p>
      <w:pPr>
        <w:pStyle w:val="ListParagraph"/>
        <w:numPr>
          <w:ilvl w:val="0"/>
          <w:numId w:val="2"/>
        </w:numPr>
      </w:pPr>
      <w:r>
        <w:rPr>
          <w:sz w:val="22"/>
          <w:szCs w:val="22"/>
        </w:rPr>
        <w:t xml:space="preserve">Uses 100% approved brand language</w:t>
      </w:r>
    </w:p>
    <w:p>
      <w:pPr>
        <w:pStyle w:val="ListParagraph"/>
        <w:numPr>
          <w:ilvl w:val="0"/>
          <w:numId w:val="2"/>
        </w:numPr>
      </w:pPr>
      <w:r>
        <w:rPr>
          <w:sz w:val="22"/>
          <w:szCs w:val="22"/>
        </w:rPr>
        <w:t xml:space="preserve">Works for all audiences without expiration</w:t>
      </w:r>
    </w:p>
    <w:p>
      <w:r>
        <w:br w:type="page"/>
      </w:r>
    </w:p>
    <w:p>
      <w:pPr>
        <w:pStyle w:val="Heading1"/>
      </w:pPr>
      <w:r>
        <w:t xml:space="preserve">Plan B: The Authority</w:t>
      </w:r>
    </w:p>
    <w:p>
      <w:pPr>
        <w:shd w:fill="EBF8FF" w:val="clear"/>
        <w:spacing w:after="200"/>
      </w:pPr>
      <w:r>
        <w:rPr>
          <w:b/>
          <w:bCs/>
          <w:sz w:val="24"/>
          <w:szCs w:val="24"/>
        </w:rPr>
        <w:t xml:space="preserve">Score: 22/25 | Best For: Grants, Press, Academic, Signage, Permanent Identity</w:t>
      </w:r>
    </w:p>
    <w:p>
      <w:pPr>
        <w:pStyle w:val="Heading2"/>
      </w:pPr>
      <w:r>
        <w:t xml:space="preserve">Primary Identity</w:t>
      </w:r>
    </w:p>
    <w:p>
      <w:pPr>
        <w:shd w:fill="1a365d" w:val="clear"/>
        <w:spacing w:after="300"/>
        <w:jc w:val="center"/>
      </w:pPr>
      <w:r>
        <w:rPr>
          <w:b/>
          <w:bCs/>
          <w:color w:val="FFFFFF"/>
          <w:sz w:val="36"/>
          <w:szCs w:val="36"/>
        </w:rPr>
        <w:t xml:space="preserve">Where Tennessee's Government Began</w:t>
      </w:r>
    </w:p>
    <w:p>
      <w:pPr>
        <w:pStyle w:val="Heading2"/>
      </w:pPr>
      <w:r>
        <w:t xml:space="preserve">The Marietta Defense</w:t>
      </w:r>
    </w:p>
    <w:p>
      <w:pPr>
        <w:spacing w:after="200"/>
        <w:jc w:val="left"/>
      </w:pPr>
      <w:r>
        <w:rPr>
          <w:sz w:val="24"/>
          <w:szCs w:val="24"/>
        </w:rPr>
        <w:t xml:space="preserve">When precision matters—especially for America 250 federal grants—use this exact phrasing:</w:t>
      </w:r>
    </w:p>
    <w:p>
      <w:pPr>
        <w:shd w:fill="F0FFF4" w:val="clear"/>
        <w:spacing w:after="200"/>
        <w:jc w:val="center"/>
      </w:pPr>
      <w:r>
        <w:rPr>
          <w:i/>
          <w:iCs/>
          <w:sz w:val="24"/>
          <w:szCs w:val="24"/>
        </w:rPr>
        <w:t xml:space="preserve">"The first federal seat of government established under the U.S. Constitution west of the Appalachian Mountains."</w:t>
      </w:r>
    </w:p>
    <w:p>
      <w:pPr>
        <w:spacing w:after="200"/>
        <w:jc w:val="left"/>
      </w:pPr>
      <w:r>
        <w:rPr>
          <w:sz w:val="24"/>
          <w:szCs w:val="24"/>
        </w:rPr>
        <w:t xml:space="preserve">Why this works: Marietta, Ohio (1788) operated under the Articles of Confederation. Rocky Mount (1790) was established after the Constitution was ratified, making it the first Constitutional federal seat west of the mountains. This is technically accurate and defensible.</w:t>
      </w:r>
    </w:p>
    <w:p>
      <w:pPr>
        <w:pStyle w:val="Heading2"/>
      </w:pPr>
      <w:r>
        <w:t xml:space="preserve">The Sycamore Separation</w:t>
      </w:r>
    </w:p>
    <w:p>
      <w:pPr>
        <w:shd w:fill="FFF5F5" w:val="clear"/>
        <w:spacing w:after="300"/>
        <w:jc w:val="center"/>
      </w:pPr>
      <w:r>
        <w:rPr>
          <w:b/>
          <w:bCs/>
          <w:i/>
          <w:iCs/>
          <w:sz w:val="28"/>
          <w:szCs w:val="28"/>
        </w:rPr>
        <w:t xml:space="preserve">"The Army gathered at the Shoals. The State started here."</w:t>
      </w:r>
    </w:p>
    <w:p>
      <w:pPr>
        <w:pStyle w:val="Heading2"/>
      </w:pPr>
      <w:r>
        <w:t xml:space="preserve">The Building Pivot</w:t>
      </w:r>
    </w:p>
    <w:p>
      <w:pPr>
        <w:shd w:fill="F7FAFC" w:val="clear"/>
        <w:spacing w:after="300"/>
      </w:pPr>
      <w:r>
        <w:rPr>
          <w:i/>
          <w:iCs/>
          <w:sz w:val="24"/>
          <w:szCs w:val="24"/>
        </w:rPr>
        <w:t xml:space="preserve">"The Cobb House was built by the grandson in the 1820s. It stands as proof that the family didn't just survive on this ground—they thrived. Three generations. One ground."</w:t>
      </w:r>
    </w:p>
    <w:p>
      <w:pPr>
        <w:pStyle w:val="Heading2"/>
      </w:pPr>
      <w:r>
        <w:t xml:space="preserve">The Fame Bridge</w:t>
      </w:r>
    </w:p>
    <w:p>
      <w:pPr>
        <w:shd w:fill="FFFFF0" w:val="clear"/>
        <w:spacing w:after="200"/>
        <w:jc w:val="center"/>
      </w:pPr>
      <w:r>
        <w:rPr>
          <w:i/>
          <w:iCs/>
          <w:sz w:val="26"/>
          <w:szCs w:val="26"/>
        </w:rPr>
        <w:t xml:space="preserve">"Governor Blount governed here. Andrew Jackson lodged here. The State started here."</w:t>
      </w:r>
    </w:p>
    <w:p>
      <w:pPr>
        <w:spacing w:after="200"/>
        <w:jc w:val="left"/>
      </w:pPr>
      <w:r>
        <w:rPr>
          <w:sz w:val="24"/>
          <w:szCs w:val="24"/>
        </w:rPr>
        <w:t xml:space="preserve">Blount gives us Authority (Constitutional signer, Governor). Jackson gives us Fame (7th President, on the $20 bill). Use both.</w:t>
      </w:r>
    </w:p>
    <w:p>
      <w:r>
        <w:br w:type="page"/>
      </w:r>
    </w:p>
    <w:p>
      <w:pPr>
        <w:pStyle w:val="Heading1"/>
      </w:pPr>
      <w:r>
        <w:t xml:space="preserve">Plan C: The Scarcity</w:t>
      </w:r>
    </w:p>
    <w:p>
      <w:pPr>
        <w:shd w:fill="FFFFF0" w:val="clear"/>
        <w:spacing w:after="200"/>
      </w:pPr>
      <w:r>
        <w:rPr>
          <w:b/>
          <w:bCs/>
          <w:sz w:val="24"/>
          <w:szCs w:val="24"/>
        </w:rPr>
        <w:t xml:space="preserve">Score: 23/25 | Best For: 2026 Campaign, Ticket Conversion, Email, Ads</w:t>
      </w:r>
    </w:p>
    <w:p>
      <w:pPr>
        <w:spacing w:after="200"/>
        <w:jc w:val="left"/>
      </w:pPr>
      <w:r>
        <w:rPr>
          <w:i/>
          <w:iCs/>
          <w:sz w:val="24"/>
          <w:szCs w:val="24"/>
        </w:rPr>
        <w:t xml:space="preserve">NOTE: This plan expires after December 31, 2026. Transition to Plan A afterward.</w:t>
      </w:r>
    </w:p>
    <w:p>
      <w:pPr>
        <w:pStyle w:val="Heading2"/>
      </w:pPr>
      <w:r>
        <w:t xml:space="preserve">Welcome Screen</w:t>
      </w:r>
    </w:p>
    <w:p>
      <w:pPr>
        <w:shd w:fill="744210" w:val="clear"/>
        <w:spacing w:after="50"/>
        <w:jc w:val="center"/>
      </w:pPr>
      <w:r>
        <w:rPr>
          <w:i/>
          <w:iCs/>
          <w:color w:val="FFFFFF"/>
          <w:sz w:val="26"/>
          <w:szCs w:val="26"/>
        </w:rPr>
        <w:t xml:space="preserve">For 18 months, this ground was the capital of everything west of the mountains.</w:t>
      </w:r>
    </w:p>
    <w:p>
      <w:pPr>
        <w:shd w:fill="744210" w:val="clear"/>
        <w:spacing w:after="50"/>
        <w:jc w:val="center"/>
      </w:pPr>
      <w:r>
        <w:rPr>
          <w:i/>
          <w:iCs/>
          <w:color w:val="F6E05E"/>
          <w:sz w:val="24"/>
          <w:szCs w:val="24"/>
        </w:rPr>
        <w:t xml:space="preserve">Then the moment passed. The ground remained.</w:t>
      </w:r>
    </w:p>
    <w:p>
      <w:pPr>
        <w:shd w:fill="744210" w:val="clear"/>
        <w:spacing w:after="50"/>
        <w:jc w:val="center"/>
      </w:pPr>
      <w:r>
        <w:rPr>
          <w:b/>
          <w:bCs/>
          <w:color w:val="FFFFFF"/>
          <w:sz w:val="36"/>
          <w:szCs w:val="36"/>
        </w:rPr>
        <w:t xml:space="preserve">ROCKY MOUNT</w:t>
      </w:r>
    </w:p>
    <w:p>
      <w:pPr>
        <w:shd w:fill="744210" w:val="clear"/>
        <w:spacing w:after="300"/>
        <w:jc w:val="center"/>
      </w:pPr>
      <w:r>
        <w:rPr>
          <w:b/>
          <w:bCs/>
          <w:color w:val="F6E05E"/>
          <w:sz w:val="22"/>
          <w:szCs w:val="22"/>
        </w:rPr>
        <w:t xml:space="preserve">[ STAND WHERE THEY STOOD ]</w:t>
      </w:r>
    </w:p>
    <w:p>
      <w:pPr>
        <w:pStyle w:val="Heading2"/>
      </w:pPr>
      <w:r>
        <w:t xml:space="preserve">Home Hero</w:t>
      </w:r>
    </w:p>
    <w:p>
      <w:pPr>
        <w:shd w:fill="F7FAFC" w:val="clear"/>
        <w:spacing w:after="50"/>
      </w:pPr>
      <w:r>
        <w:rPr>
          <w:color w:val="718096"/>
          <w:sz w:val="18"/>
          <w:szCs w:val="18"/>
        </w:rPr>
        <w:t xml:space="preserve">Tennessee 230  |  America 250</w:t>
      </w:r>
    </w:p>
    <w:p>
      <w:pPr>
        <w:shd w:fill="F7FAFC" w:val="clear"/>
        <w:spacing w:after="50"/>
      </w:pPr>
      <w:r>
        <w:rPr>
          <w:b/>
          <w:bCs/>
          <w:sz w:val="40"/>
          <w:szCs w:val="40"/>
        </w:rPr>
        <w:t xml:space="preserve">ROCKY MOUNT</w:t>
      </w:r>
    </w:p>
    <w:p>
      <w:pPr>
        <w:shd w:fill="F7FAFC" w:val="clear"/>
        <w:spacing w:after="150"/>
      </w:pPr>
      <w:r>
        <w:rPr>
          <w:i/>
          <w:iCs/>
          <w:sz w:val="28"/>
          <w:szCs w:val="28"/>
        </w:rPr>
        <w:t xml:space="preserve">The 18-month capital that made a state.</w:t>
      </w:r>
    </w:p>
    <w:p>
      <w:pPr>
        <w:shd w:fill="F7FAFC" w:val="clear"/>
        <w:spacing w:after="50"/>
      </w:pPr>
      <w:r>
        <w:rPr>
          <w:sz w:val="24"/>
          <w:szCs w:val="24"/>
        </w:rPr>
        <w:t xml:space="preserve">1790. Governor Blount—one of 39 men who signed the Constitution—governed from this ground.</w:t>
      </w:r>
    </w:p>
    <w:p>
      <w:pPr>
        <w:shd w:fill="F7FAFC" w:val="clear"/>
        <w:spacing w:after="50"/>
      </w:pPr>
      <w:r>
        <w:rPr>
          <w:sz w:val="24"/>
          <w:szCs w:val="24"/>
        </w:rPr>
        <w:t xml:space="preserve">Treaties were negotiated. Letters went to Washington. A state was born.</w:t>
      </w:r>
    </w:p>
    <w:p>
      <w:pPr>
        <w:shd w:fill="F7FAFC" w:val="clear"/>
        <w:spacing w:after="150"/>
      </w:pPr>
      <w:r>
        <w:rPr>
          <w:i/>
          <w:iCs/>
          <w:sz w:val="24"/>
          <w:szCs w:val="24"/>
        </w:rPr>
        <w:t xml:space="preserve">Then the capital moved. The moment passed. The ground remained.</w:t>
      </w:r>
    </w:p>
    <w:p>
      <w:pPr>
        <w:shd w:fill="F7FAFC" w:val="clear"/>
        <w:spacing w:after="300"/>
      </w:pPr>
      <w:r>
        <w:rPr>
          <w:b/>
          <w:bCs/>
          <w:sz w:val="28"/>
          <w:szCs w:val="28"/>
        </w:rPr>
        <w:t xml:space="preserve">Stand where they stood.</w:t>
      </w:r>
    </w:p>
    <w:p>
      <w:pPr>
        <w:pStyle w:val="Heading2"/>
      </w:pPr>
      <w:r>
        <w:t xml:space="preserve">Why Plan C Works for 2026</w:t>
      </w:r>
    </w:p>
    <w:p>
      <w:pPr>
        <w:pStyle w:val="ListParagraph"/>
        <w:numPr>
          <w:ilvl w:val="0"/>
          <w:numId w:val="2"/>
        </w:numPr>
      </w:pPr>
      <w:r>
        <w:rPr>
          <w:sz w:val="22"/>
          <w:szCs w:val="22"/>
        </w:rPr>
        <w:t xml:space="preserve">Opens with scarcity (18 months)—creates urgency</w:t>
      </w:r>
    </w:p>
    <w:p>
      <w:pPr>
        <w:pStyle w:val="ListParagraph"/>
        <w:numPr>
          <w:ilvl w:val="0"/>
          <w:numId w:val="2"/>
        </w:numPr>
      </w:pPr>
      <w:r>
        <w:rPr>
          <w:sz w:val="22"/>
          <w:szCs w:val="22"/>
        </w:rPr>
        <w:t xml:space="preserve">"The moment passed" implies visitors could miss it too</w:t>
      </w:r>
    </w:p>
    <w:p>
      <w:pPr>
        <w:pStyle w:val="ListParagraph"/>
        <w:numPr>
          <w:ilvl w:val="0"/>
          <w:numId w:val="2"/>
        </w:numPr>
      </w:pPr>
      <w:r>
        <w:rPr>
          <w:sz w:val="22"/>
          <w:szCs w:val="22"/>
        </w:rPr>
        <w:t xml:space="preserve">Blount-as-Constitution-signer adds credibility</w:t>
      </w:r>
    </w:p>
    <w:p>
      <w:pPr>
        <w:pStyle w:val="ListParagraph"/>
        <w:numPr>
          <w:ilvl w:val="0"/>
          <w:numId w:val="2"/>
        </w:numPr>
      </w:pPr>
      <w:r>
        <w:rPr>
          <w:sz w:val="22"/>
          <w:szCs w:val="22"/>
        </w:rPr>
        <w:t xml:space="preserve">Best for time-sensitive 2026 campaign push</w:t>
      </w:r>
    </w:p>
    <w:p>
      <w:pPr>
        <w:pStyle w:val="ListParagraph"/>
        <w:numPr>
          <w:ilvl w:val="0"/>
          <w:numId w:val="2"/>
        </w:numPr>
      </w:pPr>
      <w:r>
        <w:rPr>
          <w:sz w:val="22"/>
          <w:szCs w:val="22"/>
        </w:rPr>
        <w:t xml:space="preserve">Drives ticket conversion through FOMO</w:t>
      </w:r>
    </w:p>
    <w:p>
      <w:r>
        <w:br w:type="page"/>
      </w:r>
    </w:p>
    <w:p>
      <w:pPr>
        <w:pStyle w:val="Heading1"/>
      </w:pPr>
      <w:r>
        <w:t xml:space="preserve">Complete Tagline Ladder</w:t>
      </w:r>
    </w:p>
    <w:p>
      <w:pPr>
        <w:spacing w:after="200"/>
        <w:jc w:val="left"/>
      </w:pPr>
      <w:r>
        <w:rPr>
          <w:sz w:val="24"/>
          <w:szCs w:val="24"/>
        </w:rPr>
        <w:t xml:space="preserve">Different lines for different contexts. All historically accurate.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CONTEXT</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LINE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Primary Brand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Tennessee Starts Here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Welcome Hook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Before there was a Tennessee, there was this ground.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Primary CTA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Stand where they stood.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Governance (Forever)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Where Tennessee's government began.</w:t>
            </w:r>
          </w:p>
        </w:tc>
      </w:tr>
      <w:tr>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b/>
                <w:bCs/>
                <w:color w:val="000000"/>
                <w:sz w:val="22"/>
                <w:szCs w:val="22"/>
              </w:rPr>
              <w:t xml:space="preserve">Fame Bridge (NEW)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Governor Blount governed here. Andrew Jackson lodged here. The State started here.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Competitor Separation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Army gathered at the Shoals. The State started here.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Contrast 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This is not where they gathered. This is not where they farmed. This is where they governed.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Scarcity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18-month capital that made a state.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2026 Urgency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Stand where they stood. 1770. 1780. 1790. Now you.</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Defense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buildings evolved. The ground endures.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Building Positive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Cobb House stands as proof: they didn't just survive—they thrived. Three generations. One ground.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Grants / Academic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first federal seat of government established under the U.S. Constitution west of the Appalachians.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Lineage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One Family. One Ground. 256 Years.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Emotional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ground remembers. Come walk it.</w:t>
            </w:r>
          </w:p>
        </w:tc>
      </w:tr>
    </w:tbl>
    <w:p>
      <w:r>
        <w:br w:type="page"/>
      </w:r>
    </w:p>
    <w:p>
      <w:pPr>
        <w:pStyle w:val="Heading1"/>
      </w:pPr>
      <w:r>
        <w:t xml:space="preserve">Strategic Roles</w:t>
      </w:r>
    </w:p>
    <w:p>
      <w:pPr>
        <w:spacing w:after="200"/>
        <w:jc w:val="left"/>
      </w:pPr>
      <w:r>
        <w:rPr>
          <w:sz w:val="24"/>
          <w:szCs w:val="24"/>
        </w:rPr>
        <w:t xml:space="preserve">Each element serves a specific strategic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ELEMENT</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ROLE</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FUNCTION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Ground Framing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THE SHIELD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Protects against building-age skepticism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Governance Claim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THE SWORD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Claims territory competitors cannot touch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18-Month Scarcity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THE ENGINE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Drives 2026 ticket conversions (expires after 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"Cobbs Thrived"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THE PIVOT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Converts building liability into legacy asset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Welcome Hook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THE HOOK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Creates emotional engagement and mystery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"Stand Where They Stood"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THE CTA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Triggers action—participatory, physical, immediate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Jackson Reference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THE FAME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Adds instant recognition (he's on the $20 bill)</w:t>
            </w:r>
          </w:p>
        </w:tc>
      </w:tr>
    </w:tbl>
    <w:p>
      <w:pPr>
        <w:pStyle w:val="Heading1"/>
      </w:pPr>
      <w:r>
        <w:t xml:space="preserve">Stop/Start Dictionary</w:t>
      </w:r>
    </w:p>
    <w:p>
      <w:pPr>
        <w:spacing w:after="200"/>
        <w:jc w:val="left"/>
      </w:pPr>
      <w:r>
        <w:rPr>
          <w:sz w:val="24"/>
          <w:szCs w:val="24"/>
        </w:rPr>
        <w:t xml:space="preserve">Mandatory for all staff, board members, and marketing 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STOP SAYING</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START SAYING</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WHY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256 years of history you can walk through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buildings evolved. The ground endures.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Truth Shield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America's first western capital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First Constitutional federal ground west of the mountains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Marietta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Cobb Mansion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Cobb House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Accuracy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Frontier Cabin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Cobb Family Residence / The Cobb House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Status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Historic house from 1770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Historic ground since 1770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Ground focus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See where Blount governed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Stand where Blount stood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Participatory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Walk the halls where TN was born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Stand where Tennessee's government began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Halls didn't exist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Where the frontier became a 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Where Tennessee's government began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Too generic</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They gathered there...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Army gathered at the Shoals.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Specificity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Pop-up capital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18-month capital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Gravitas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Dynasty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Legacy / Lineage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Overclaim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Birthed a state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Made a state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Cleaner</w:t>
            </w:r>
          </w:p>
        </w:tc>
      </w:tr>
    </w:tbl>
    <w:p>
      <w:r>
        <w:br w:type="page"/>
      </w:r>
    </w:p>
    <w:p>
      <w:pPr>
        <w:pStyle w:val="Heading1"/>
      </w:pPr>
      <w:r>
        <w:t xml:space="preserve">Verified Historical Claims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CLAIM</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STATUS</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SOURCE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Cobb family settled this land ~1770</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TN Encyclopedia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Cobbs supplied Overmountain Men (gunpowder, horses, blankets, food)</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Rocky Mount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Five Cobb men answered Sevier's call</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Rocky Mount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Blount governed from this site 1790-92</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Territorial records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Blount signed U.S. Constitution (one of 39 signers, 1787)</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Constitutional records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Blount negotiated Treaty of Holston (1791) from this site</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Treaty records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Blount corresponded with President Washington</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Correspondence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First capital of the Southwest Territory</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Territorial records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Capital operated for 18 months</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Territorial records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Andrew Jackson lodged here</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Rocky Mount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15-acre acquisition = part of TN's oldest documented farm (Century Farms, est. 1775)</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TN Century Farms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Current building dates to 1827-1830</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color w:val="000000"/>
                <w:sz w:val="22"/>
                <w:szCs w:val="22"/>
              </w:rPr>
              <w:t xml:space="preserve">TRUE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UT Dendro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First territorial capital under U.S. Constitution</w:t>
            </w:r>
          </w:p>
        </w:tc>
        <w:tc>
          <w:tcPr>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color w:val="000000"/>
                <w:sz w:val="22"/>
                <w:szCs w:val="22"/>
              </w:rPr>
              <w:t xml:space="preserve">DEFENSIBLE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Constitutional analysis</w:t>
            </w:r>
          </w:p>
        </w:tc>
      </w:tr>
    </w:tbl>
    <w:p>
      <w:pPr>
        <w:pStyle w:val="Heading1"/>
      </w:pPr>
      <w:r>
        <w:t xml:space="preserve">Claims to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CLAIM</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PROBLEM</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"256 years of history you can walk through"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Building dates to 1820s, not 1770</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"America's first western capital"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Marietta, OH (1788) predates by 2 years</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"First territorial capital" (unqualified)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Only accurate with "Southwest" qualifier</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"Frontier cabin from 1770"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Dendrochronology disproves</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"Tennessee's first capital"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First STATE capital was Knoxville (1796). Rocky Mount was TERRITORIAL.</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"Cobb Mansion"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It's not a mansion—overclaiming creates risk</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"Where the frontier became a 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Generic—Sycamore Shoals could claim it</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"Pop-up capital"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Wrong register for heritage tourism</w:t>
            </w:r>
          </w:p>
        </w:tc>
      </w:tr>
      <w:tr>
        <w:tc>
          <w:tcPr>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000000"/>
                <w:sz w:val="22"/>
                <w:szCs w:val="22"/>
              </w:rPr>
              <w:t xml:space="preserve">"Dynasty"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Overpromises—use "legacy" or "lineage"</w:t>
            </w:r>
          </w:p>
        </w:tc>
      </w:tr>
    </w:tbl>
    <w:p>
      <w:r>
        <w:br w:type="page"/>
      </w:r>
    </w:p>
    <w:p>
      <w:pPr>
        <w:pStyle w:val="Heading1"/>
      </w:pPr>
      <w:r>
        <w:t xml:space="preserve">Staff Scripts &amp; Training</w:t>
      </w:r>
    </w:p>
    <w:p>
      <w:pPr>
        <w:pStyle w:val="Heading2"/>
      </w:pPr>
      <w:r>
        <w:t xml:space="preserve">Welcome Script (Arrival)</w:t>
      </w:r>
    </w:p>
    <w:p>
      <w:pPr>
        <w:shd w:fill="F0FFF4" w:val="clear"/>
        <w:spacing w:after="300"/>
      </w:pPr>
      <w:r>
        <w:rPr>
          <w:i/>
          <w:iCs/>
          <w:sz w:val="22"/>
          <w:szCs w:val="22"/>
        </w:rPr>
        <w:t xml:space="preserve">"Welcome to Rocky Mount. Before there was a Tennessee, there was this ground. The Cobbs settled here in 1770—six years before the Declaration of Independence. In 1780, they supplied the Overmountain Men who turned the tide at Kings Mountain. And in 1790, Governor William Blount made these grounds the capital of the Southwest Territory. For 18 months, this was the seat of power for everything that would become Tennessee. The buildings have evolved. The ground you're standing on is the constant. You are standing where they stood."</w:t>
      </w:r>
    </w:p>
    <w:p>
      <w:pPr>
        <w:pStyle w:val="Heading2"/>
      </w:pPr>
      <w:r>
        <w:t xml:space="preserve">FAQ: Building Age Question</w:t>
      </w:r>
    </w:p>
    <w:p>
      <w:pPr>
        <w:spacing w:after="200"/>
        <w:jc w:val="left"/>
      </w:pPr>
      <w:r>
        <w:rPr>
          <w:sz w:val="24"/>
          <w:szCs w:val="24"/>
        </w:rPr>
        <w:t xml:space="preserve">When a visitor asks: "Is this the original building from 1770?"</w:t>
      </w:r>
    </w:p>
    <w:p>
      <w:pPr>
        <w:shd w:fill="FFF5F5" w:val="clear"/>
        <w:spacing w:after="300"/>
      </w:pPr>
      <w:r>
        <w:rPr>
          <w:i/>
          <w:iCs/>
          <w:sz w:val="22"/>
          <w:szCs w:val="22"/>
        </w:rPr>
        <w:t xml:space="preserve">"Great question. The Cobb House was built in the 1820s by Michael Massengill, William Cobb's grandson. And that's actually the best part of the story—it proves the Cobb family didn't just survive on this frontier. They thrived. Three generations on the exact same soil. The buildings evolved. The ground endures. When Governor Blount governed from here in 1790, he stood on this same ground you're standing on right now."</w:t>
      </w:r>
    </w:p>
    <w:p>
      <w:pPr>
        <w:pStyle w:val="Heading2"/>
      </w:pPr>
      <w:r>
        <w:t xml:space="preserve">Sycamore Shoals Differentiation</w:t>
      </w:r>
    </w:p>
    <w:p>
      <w:pPr>
        <w:spacing w:after="200"/>
        <w:jc w:val="left"/>
      </w:pPr>
      <w:r>
        <w:rPr>
          <w:sz w:val="24"/>
          <w:szCs w:val="24"/>
        </w:rPr>
        <w:t xml:space="preserve">When a visitor asks: "Is this where the soldiers gathered?"</w:t>
      </w:r>
    </w:p>
    <w:p>
      <w:pPr>
        <w:shd w:fill="EBF8FF" w:val="clear"/>
        <w:spacing w:after="300"/>
      </w:pPr>
      <w:r>
        <w:rPr>
          <w:i/>
          <w:iCs/>
          <w:sz w:val="22"/>
          <w:szCs w:val="22"/>
        </w:rPr>
        <w:t xml:space="preserve">"No, the soldiers gathered at Sycamore Shoals—that was the muster point. Rocky Mount was the operational headquarters. This is where the family lived who supplied the gunpowder and horses. And later, this is where the government was actually formed. The Army gathered at the Shoals. The State started here."</w:t>
      </w:r>
    </w:p>
    <w:p>
      <w:pPr>
        <w:pStyle w:val="Heading2"/>
      </w:pPr>
      <w:r>
        <w:t xml:space="preserve">Tone Guidance: Friendly Rivalry</w:t>
      </w:r>
    </w:p>
    <w:p>
      <w:pPr>
        <w:shd w:fill="FFFFF0" w:val="clear"/>
        <w:spacing w:after="300"/>
      </w:pPr>
      <w:r>
        <w:rPr>
          <w:i/>
          <w:iCs/>
          <w:sz w:val="24"/>
          <w:szCs w:val="24"/>
        </w:rPr>
        <w:t xml:space="preserve">When differentiating from Sycamore Shoals, use a clarifying tone, not dismissive. They provided the muscle; we provided the mind. We are the other half of the origin story—complementary, not competing.</w:t>
      </w:r>
    </w:p>
    <w:p>
      <w:pPr>
        <w:pStyle w:val="Heading2"/>
      </w:pPr>
      <w:r>
        <w:t xml:space="preserve">The Blount Credibility</w:t>
      </w:r>
    </w:p>
    <w:p>
      <w:pPr>
        <w:spacing w:after="200"/>
        <w:jc w:val="left"/>
      </w:pPr>
      <w:r>
        <w:rPr>
          <w:sz w:val="24"/>
          <w:szCs w:val="24"/>
        </w:rPr>
        <w:t xml:space="preserve">Use when emphasizing Constitutional authority:</w:t>
      </w:r>
    </w:p>
    <w:p>
      <w:pPr>
        <w:shd w:fill="F0FFF4" w:val="clear"/>
        <w:spacing w:after="300"/>
      </w:pPr>
      <w:r>
        <w:rPr>
          <w:i/>
          <w:iCs/>
          <w:sz w:val="22"/>
          <w:szCs w:val="22"/>
        </w:rPr>
        <w:t xml:space="preserve">"Governor Blount wasn't just any federal appointee—he was one of the 39 men who signed the U.S. Constitution in Philadelphia. Washington sent him here to govern the frontier. From this ground, he negotiated treaties with the Cherokee, corresponded directly with President Washington, and conducted the federal business that would become Tennessee."</w:t>
      </w:r>
    </w:p>
    <w:p>
      <w:r>
        <w:br w:type="page"/>
      </w:r>
    </w:p>
    <w:p>
      <w:pPr>
        <w:pStyle w:val="Heading1"/>
      </w:pPr>
      <w:r>
        <w:t xml:space="preserve">Competitive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SITE</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THEIR LANE</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OUR LANE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Sycamore Shoals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Muster (military)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Statehouse (governance)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Exchange Place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The Farm (lifestyle)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Frontier governance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Andrew Johnson NHS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Presidential history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Pre-statehood history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Marble Springs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John Sevier's home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Where Sevier's government operated</w:t>
            </w:r>
          </w:p>
        </w:tc>
      </w:tr>
    </w:tbl>
    <w:p>
      <w:pPr>
        <w:pStyle w:val="Heading2"/>
      </w:pPr>
      <w:r>
        <w:t xml:space="preserve">The Positioning Statement</w:t>
      </w:r>
    </w:p>
    <w:p>
      <w:pPr>
        <w:shd w:fill="1a365d" w:val="clear"/>
        <w:spacing w:after="200"/>
      </w:pPr>
      <w:r>
        <w:rPr>
          <w:i/>
          <w:iCs/>
          <w:color w:val="FFFFFF"/>
          <w:sz w:val="22"/>
          <w:szCs w:val="22"/>
        </w:rPr>
        <w:t xml:space="preserve">Sycamore Shoals owns the muster. Exchange Place owns the farm. Rocky Mount owns the statehouse. We are the only site in Tennessee where visitors can stand on the actual ground where the territorial government operated. This is not where they gathered. This is not where they farmed. This is where they governed. This is where Tennessee's government began.</w:t>
      </w:r>
    </w:p>
    <w:p>
      <w:pPr>
        <w:shd w:fill="F0FFF4" w:val="clear"/>
        <w:spacing w:after="400"/>
        <w:jc w:val="center"/>
      </w:pPr>
      <w:r>
        <w:rPr>
          <w:b/>
          <w:bCs/>
          <w:i/>
          <w:iCs/>
          <w:sz w:val="28"/>
          <w:szCs w:val="28"/>
        </w:rPr>
        <w:t xml:space="preserve">Positioning Principle: Don't compete on their field. Own yours.</w:t>
      </w:r>
    </w:p>
    <w:p>
      <w:pPr>
        <w:pStyle w:val="Heading1"/>
      </w:pPr>
      <w:r>
        <w:t xml:space="preserve">Brand Hierarchy</w:t>
      </w:r>
    </w:p>
    <w:p>
      <w:pPr>
        <w:spacing w:after="200"/>
        <w:jc w:val="left"/>
      </w:pPr>
      <w:r>
        <w:rPr>
          <w:sz w:val="24"/>
          <w:szCs w:val="24"/>
        </w:rPr>
        <w:t xml:space="preserve">Rocky Mount operates within a nested brand structure. Each level has a distinct role.</w:t>
      </w:r>
    </w:p>
    <w:p>
      <w:pPr>
        <w:shd w:fill="2D3748" w:val="clear"/>
        <w:spacing w:after="50"/>
        <w:jc w:val="center"/>
      </w:pPr>
      <w:r>
        <w:rPr>
          <w:color w:val="A0AEC0"/>
          <w:sz w:val="18"/>
          <w:szCs w:val="18"/>
        </w:rPr>
        <w:t xml:space="preserve">TIER 1: DESTINATION BRAND</w:t>
      </w:r>
    </w:p>
    <w:p>
      <w:pPr>
        <w:shd w:fill="2D3748" w:val="clear"/>
        <w:spacing w:after="50"/>
        <w:jc w:val="center"/>
      </w:pPr>
      <w:r>
        <w:rPr>
          <w:b/>
          <w:bCs/>
          <w:color w:val="FFFFFF"/>
          <w:sz w:val="28"/>
          <w:szCs w:val="28"/>
        </w:rPr>
        <w:t xml:space="preserve">SULLIVAN COUNTY</w:t>
      </w:r>
    </w:p>
    <w:p>
      <w:pPr>
        <w:shd w:fill="2D3748" w:val="clear"/>
        <w:spacing w:after="100"/>
        <w:jc w:val="center"/>
      </w:pPr>
      <w:r>
        <w:rPr>
          <w:i/>
          <w:iCs/>
          <w:color w:val="FFFFFF"/>
          <w:sz w:val="22"/>
          <w:szCs w:val="22"/>
        </w:rPr>
        <w:t xml:space="preserve">"Where Tennessee Began"</w:t>
      </w:r>
    </w:p>
    <w:p>
      <w:pPr>
        <w:spacing w:after="200"/>
        <w:jc w:val="center"/>
      </w:pPr>
      <w:r>
        <w:rPr>
          <w:color w:val="718096"/>
          <w:sz w:val="28"/>
          <w:szCs w:val="28"/>
        </w:rPr>
        <w:t xml:space="preserve">▼</w:t>
      </w:r>
    </w:p>
    <w:p>
      <w:pPr>
        <w:shd w:fill="1a365d" w:val="clear"/>
        <w:spacing w:after="50"/>
        <w:jc w:val="center"/>
      </w:pPr>
      <w:r>
        <w:rPr>
          <w:color w:val="A0AEC0"/>
          <w:sz w:val="18"/>
          <w:szCs w:val="18"/>
        </w:rPr>
        <w:t xml:space="preserve">TIER 2: SITE BRAND</w:t>
      </w:r>
    </w:p>
    <w:p>
      <w:pPr>
        <w:shd w:fill="1a365d" w:val="clear"/>
        <w:spacing w:after="50"/>
        <w:jc w:val="center"/>
      </w:pPr>
      <w:r>
        <w:rPr>
          <w:b/>
          <w:bCs/>
          <w:color w:val="FFFFFF"/>
          <w:sz w:val="28"/>
          <w:szCs w:val="28"/>
        </w:rPr>
        <w:t xml:space="preserve">ROCKY MOUNT</w:t>
      </w:r>
    </w:p>
    <w:p>
      <w:pPr>
        <w:shd w:fill="1a365d" w:val="clear"/>
        <w:spacing w:after="100"/>
        <w:jc w:val="center"/>
      </w:pPr>
      <w:r>
        <w:rPr>
          <w:i/>
          <w:iCs/>
          <w:color w:val="FFFFFF"/>
          <w:sz w:val="22"/>
          <w:szCs w:val="22"/>
        </w:rPr>
        <w:t xml:space="preserve">"Where Tennessee's Government Began"</w:t>
      </w:r>
    </w:p>
    <w:p>
      <w:pPr>
        <w:spacing w:after="200"/>
        <w:jc w:val="center"/>
      </w:pPr>
      <w:r>
        <w:rPr>
          <w:color w:val="718096"/>
          <w:sz w:val="28"/>
          <w:szCs w:val="28"/>
        </w:rPr>
        <w:t xml:space="preserve">▼</w:t>
      </w:r>
    </w:p>
    <w:p>
      <w:pPr>
        <w:shd w:fill="2c5282" w:val="clear"/>
        <w:spacing w:after="50"/>
        <w:jc w:val="center"/>
      </w:pPr>
      <w:r>
        <w:rPr>
          <w:color w:val="A0AEC0"/>
          <w:sz w:val="18"/>
          <w:szCs w:val="18"/>
        </w:rPr>
        <w:t xml:space="preserve">TIER 3: SIGNATURE TAGLINE</w:t>
      </w:r>
    </w:p>
    <w:p>
      <w:pPr>
        <w:shd w:fill="2c5282" w:val="clear"/>
        <w:spacing w:after="100"/>
        <w:jc w:val="center"/>
      </w:pPr>
      <w:r>
        <w:rPr>
          <w:b/>
          <w:bCs/>
          <w:color w:val="FFFFFF"/>
          <w:sz w:val="26"/>
          <w:szCs w:val="26"/>
        </w:rPr>
        <w:t xml:space="preserve">"Tennessee Starts Here"</w:t>
      </w:r>
    </w:p>
    <w:p>
      <w:pPr>
        <w:spacing w:after="200"/>
        <w:jc w:val="center"/>
      </w:pPr>
      <w:r>
        <w:rPr>
          <w:color w:val="718096"/>
          <w:sz w:val="28"/>
          <w:szCs w:val="28"/>
        </w:rPr>
        <w:t xml:space="preserve">▼</w:t>
      </w:r>
    </w:p>
    <w:p>
      <w:pPr>
        <w:shd w:fill="4299E1" w:val="clear"/>
        <w:spacing w:after="50"/>
        <w:jc w:val="center"/>
      </w:pPr>
      <w:r>
        <w:rPr>
          <w:color w:val="FFFFFF"/>
          <w:sz w:val="18"/>
          <w:szCs w:val="18"/>
        </w:rPr>
        <w:t xml:space="preserve">TIER 4: CONVERSION HOOK</w:t>
      </w:r>
    </w:p>
    <w:p>
      <w:pPr>
        <w:shd w:fill="4299E1" w:val="clear"/>
        <w:spacing w:after="100"/>
        <w:jc w:val="center"/>
      </w:pPr>
      <w:r>
        <w:rPr>
          <w:i/>
          <w:iCs/>
          <w:color w:val="FFFFFF"/>
          <w:sz w:val="22"/>
          <w:szCs w:val="22"/>
        </w:rPr>
        <w:t xml:space="preserve">"Before there was a Tennessee, there was this ground."</w:t>
      </w:r>
    </w:p>
    <w:p>
      <w:pPr>
        <w:spacing w:after="200"/>
        <w:jc w:val="center"/>
      </w:pPr>
      <w:r>
        <w:rPr>
          <w:color w:val="718096"/>
          <w:sz w:val="28"/>
          <w:szCs w:val="28"/>
        </w:rPr>
        <w:t xml:space="preserve">▼</w:t>
      </w:r>
    </w:p>
    <w:p>
      <w:pPr>
        <w:shd w:fill="48BB78" w:val="clear"/>
        <w:spacing w:after="50"/>
        <w:jc w:val="center"/>
      </w:pPr>
      <w:r>
        <w:rPr>
          <w:color w:val="FFFFFF"/>
          <w:sz w:val="18"/>
          <w:szCs w:val="18"/>
        </w:rPr>
        <w:t xml:space="preserve">TIER 5: CALL TO ACTION</w:t>
      </w:r>
    </w:p>
    <w:p>
      <w:pPr>
        <w:shd w:fill="48BB78" w:val="clear"/>
        <w:spacing w:after="200"/>
        <w:jc w:val="center"/>
      </w:pPr>
      <w:r>
        <w:rPr>
          <w:b/>
          <w:bCs/>
          <w:color w:val="FFFFFF"/>
          <w:sz w:val="26"/>
          <w:szCs w:val="26"/>
        </w:rPr>
        <w:t xml:space="preserve">"Stand where they stood."</w:t>
      </w:r>
    </w:p>
    <w:p>
      <w:pPr>
        <w:spacing w:after="200"/>
        <w:jc w:val="left"/>
      </w:pPr>
      <w:r>
        <w:rPr>
          <w:i/>
          <w:iCs/>
          <w:sz w:val="24"/>
          <w:szCs w:val="24"/>
        </w:rPr>
        <w:t xml:space="preserve">The Nesting Rule: Sullivan County contains Rocky Mount. Rocky Mount proves the county claim. The tagline captures the feeling. The hook creates the gap. The CTA closes the sale. Never use a lower tier without the context of a higher tier.</w:t>
      </w:r>
    </w:p>
    <w:p>
      <w:r>
        <w:br w:type="page"/>
      </w:r>
    </w:p>
    <w:p>
      <w:pPr>
        <w:pStyle w:val="Heading1"/>
      </w:pPr>
      <w:r>
        <w:t xml:space="preserve">Press Kit Boilerplates</w:t>
      </w:r>
    </w:p>
    <w:p>
      <w:pPr>
        <w:spacing w:after="200"/>
        <w:jc w:val="left"/>
      </w:pPr>
      <w:r>
        <w:rPr>
          <w:sz w:val="24"/>
          <w:szCs w:val="24"/>
        </w:rPr>
        <w:t xml:space="preserve">Use these approved descriptions for all media inquiries, press releases, and partnership materials. Do not improvise.</w:t>
      </w:r>
    </w:p>
    <w:p>
      <w:pPr>
        <w:pStyle w:val="Heading2"/>
      </w:pPr>
      <w:r>
        <w:t xml:space="preserve">50-Word Version (Social Media / Quick Reference)</w:t>
      </w:r>
    </w:p>
    <w:p>
      <w:pPr>
        <w:shd w:fill="F7FAFC" w:val="clear"/>
        <w:spacing w:after="300"/>
      </w:pPr>
      <w:r>
        <w:rPr>
          <w:sz w:val="22"/>
          <w:szCs w:val="22"/>
        </w:rPr>
        <w:t xml:space="preserve">Rocky Mount State Historic Site is where Tennessee's government began. From 1790 to 1792, this ground served as the first capital of the Southwest Territory under Governor William Blount, a signer of the U.S. Constitution. Located in Sullivan County, Tennessee. Open Wednesday through Saturday. (49 words)</w:t>
      </w:r>
    </w:p>
    <w:p>
      <w:pPr>
        <w:pStyle w:val="Heading2"/>
      </w:pPr>
      <w:r>
        <w:t xml:space="preserve">100-Word Version (Press Releases / Grant Applications)</w:t>
      </w:r>
    </w:p>
    <w:p>
      <w:pPr>
        <w:shd w:fill="F7FAFC" w:val="clear"/>
        <w:spacing w:after="400"/>
      </w:pPr>
      <w:r>
        <w:rPr>
          <w:sz w:val="22"/>
          <w:szCs w:val="22"/>
        </w:rPr>
        <w:t xml:space="preserve">Rocky Mount State Historic Site is where Tennessee's government began. From 1790 to 1792, this ground served as the first capital of the Southwest Territory—the first federal seat of government established under the U.S. Constitution west of the Appalachian Mountains. Governor William Blount, one of only 39 men to sign the Constitution, conducted official business on this site before the capital moved to Knoxville. The Cobb family, who settled this land around 1770, also supplied the Overmountain Men with provisions before their march to Kings Mountain. Located in Sullivan County, Tennessee—where Tennessee began. Open Wednesday through Saturday. (98 words)</w:t>
      </w:r>
    </w:p>
    <w:p>
      <w:pPr>
        <w:pStyle w:val="Heading1"/>
      </w:pPr>
      <w:r>
        <w:t xml:space="preserve">Signage Language</w:t>
      </w:r>
    </w:p>
    <w:p>
      <w:pPr>
        <w:pStyle w:val="Heading2"/>
      </w:pPr>
      <w:r>
        <w:t xml:space="preserve">Primary Entrance Sign</w:t>
      </w:r>
    </w:p>
    <w:p>
      <w:pPr>
        <w:shd w:fill="1a365d" w:val="clear"/>
        <w:spacing w:after="50"/>
        <w:jc w:val="center"/>
      </w:pPr>
      <w:r>
        <w:rPr>
          <w:b/>
          <w:bCs/>
          <w:color w:val="FFFFFF"/>
          <w:sz w:val="40"/>
          <w:szCs w:val="40"/>
        </w:rPr>
        <w:t xml:space="preserve">ROCKY MOUNT</w:t>
      </w:r>
    </w:p>
    <w:p>
      <w:pPr>
        <w:shd w:fill="1a365d" w:val="clear"/>
        <w:spacing w:after="50"/>
        <w:jc w:val="center"/>
      </w:pPr>
      <w:r>
        <w:rPr>
          <w:color w:val="A0AEC0"/>
          <w:sz w:val="22"/>
          <w:szCs w:val="22"/>
        </w:rPr>
        <w:t xml:space="preserve">STATE HISTORIC SITE</w:t>
      </w:r>
    </w:p>
    <w:p>
      <w:pPr>
        <w:shd w:fill="1a365d" w:val="clear"/>
        <w:spacing w:after="50"/>
        <w:jc w:val="center"/>
      </w:pPr>
      <w:r>
        <w:rPr>
          <w:i/>
          <w:iCs/>
          <w:color w:val="FFFFFF"/>
          <w:sz w:val="26"/>
          <w:szCs w:val="26"/>
        </w:rPr>
        <w:t xml:space="preserve">Where Tennessee's Government Began</w:t>
      </w:r>
    </w:p>
    <w:p>
      <w:pPr>
        <w:shd w:fill="1a365d" w:val="clear"/>
        <w:spacing w:after="300"/>
        <w:jc w:val="center"/>
      </w:pPr>
      <w:r>
        <w:rPr>
          <w:color w:val="A0AEC0"/>
          <w:sz w:val="20"/>
          <w:szCs w:val="20"/>
        </w:rPr>
        <w:t xml:space="preserve">Est. 1770  •  Capital 1790-1792</w:t>
      </w:r>
    </w:p>
    <w:p>
      <w:pPr>
        <w:pStyle w:val="Heading2"/>
      </w:pPr>
      <w:r>
        <w:t xml:space="preserve">Ground Markers</w:t>
      </w:r>
    </w:p>
    <w:p>
      <w:pPr>
        <w:shd w:fill="744210" w:val="clear"/>
        <w:spacing w:after="50"/>
        <w:jc w:val="center"/>
      </w:pPr>
      <w:r>
        <w:rPr>
          <w:color w:val="FFFFFF"/>
          <w:sz w:val="18"/>
          <w:szCs w:val="18"/>
        </w:rPr>
        <w:t xml:space="preserve">YOU ARE STANDING ON</w:t>
      </w:r>
    </w:p>
    <w:p>
      <w:pPr>
        <w:shd w:fill="744210" w:val="clear"/>
        <w:spacing w:after="50"/>
        <w:jc w:val="center"/>
      </w:pPr>
      <w:r>
        <w:rPr>
          <w:b/>
          <w:bCs/>
          <w:color w:val="FFFFFF"/>
          <w:sz w:val="36"/>
          <w:szCs w:val="36"/>
        </w:rPr>
        <w:t xml:space="preserve">CAPITAL GROUND</w:t>
      </w:r>
    </w:p>
    <w:p>
      <w:pPr>
        <w:shd w:fill="744210" w:val="clear"/>
        <w:spacing w:after="300"/>
        <w:jc w:val="center"/>
      </w:pPr>
      <w:r>
        <w:rPr>
          <w:color w:val="FFFFFF"/>
          <w:sz w:val="18"/>
          <w:szCs w:val="18"/>
        </w:rPr>
        <w:t xml:space="preserve">Settled 1770  |  18-Month Capital 1790-92</w:t>
      </w:r>
    </w:p>
    <w:p>
      <w:pPr>
        <w:pStyle w:val="Heading2"/>
      </w:pPr>
      <w:r>
        <w:t xml:space="preserve">2026 Commemorative Banner (Temporary)</w:t>
      </w:r>
    </w:p>
    <w:p>
      <w:pPr>
        <w:shd w:fill="C53030" w:val="clear"/>
        <w:spacing w:after="50"/>
        <w:jc w:val="center"/>
      </w:pPr>
      <w:r>
        <w:rPr>
          <w:b/>
          <w:bCs/>
          <w:color w:val="FFFFFF"/>
          <w:sz w:val="26"/>
          <w:szCs w:val="26"/>
        </w:rPr>
        <w:t xml:space="preserve">TENNESSEE 230  •  AMERICA 250</w:t>
      </w:r>
    </w:p>
    <w:p>
      <w:pPr>
        <w:shd w:fill="C53030" w:val="clear"/>
        <w:spacing w:after="50"/>
        <w:jc w:val="center"/>
      </w:pPr>
      <w:r>
        <w:rPr>
          <w:b/>
          <w:bCs/>
          <w:color w:val="FFFFFF"/>
          <w:sz w:val="36"/>
          <w:szCs w:val="36"/>
        </w:rPr>
        <w:t xml:space="preserve">ROCKY MOUNT</w:t>
      </w:r>
    </w:p>
    <w:p>
      <w:pPr>
        <w:shd w:fill="C53030" w:val="clear"/>
        <w:spacing w:after="50"/>
        <w:jc w:val="center"/>
      </w:pPr>
      <w:r>
        <w:rPr>
          <w:i/>
          <w:iCs/>
          <w:color w:val="FFFFFF"/>
          <w:sz w:val="26"/>
          <w:szCs w:val="26"/>
        </w:rPr>
        <w:t xml:space="preserve">Tennessee Starts Here</w:t>
      </w:r>
    </w:p>
    <w:p>
      <w:pPr>
        <w:shd w:fill="C53030" w:val="clear"/>
        <w:spacing w:after="300"/>
        <w:jc w:val="center"/>
      </w:pPr>
      <w:r>
        <w:rPr>
          <w:color w:val="F6E05E"/>
          <w:sz w:val="20"/>
          <w:szCs w:val="20"/>
        </w:rPr>
        <w:t xml:space="preserve">Be One of the First 250  •  Enrollment Closes June 1</w:t>
      </w:r>
    </w:p>
    <w:p>
      <w:r>
        <w:br w:type="page"/>
      </w:r>
    </w:p>
    <w:p>
      <w:pPr>
        <w:pStyle w:val="Heading1"/>
      </w:pPr>
      <w:r>
        <w:t xml:space="preserve">Visual Directive</w:t>
      </w:r>
    </w:p>
    <w:p>
      <w:pPr>
        <w:spacing w:after="200"/>
        <w:jc w:val="left"/>
      </w:pPr>
      <w:r>
        <w:rPr>
          <w:sz w:val="24"/>
          <w:szCs w:val="24"/>
        </w:rPr>
        <w:t xml:space="preserve">Photography must match brand hierarchy. If we say "Stand where they stood" next to a standard building photo, we visually reinforce the exact frame we're trying to break.</w:t>
      </w:r>
    </w:p>
    <w:p>
      <w:pPr>
        <w:pStyle w:val="Heading2"/>
      </w:pPr>
      <w:r>
        <w:t xml:space="preserve">The Rule</w:t>
      </w:r>
    </w:p>
    <w:p>
      <w:pPr>
        <w:shd w:fill="FFF5F5" w:val="clear"/>
        <w:spacing w:after="300"/>
        <w:jc w:val="center"/>
      </w:pPr>
      <w:r>
        <w:rPr>
          <w:b/>
          <w:bCs/>
          <w:sz w:val="32"/>
          <w:szCs w:val="32"/>
        </w:rPr>
        <w:t xml:space="preserve">Ground First. House Second.</w:t>
      </w:r>
    </w:p>
    <w:p>
      <w:pPr>
        <w:pStyle w:val="Heading2"/>
      </w:pPr>
      <w:r>
        <w:t xml:space="preserve">Photography Brief</w:t>
      </w:r>
    </w:p>
    <w:p>
      <w:pPr>
        <w:pStyle w:val="ListParagraph"/>
        <w:numPr>
          <w:ilvl w:val="0"/>
          <w:numId w:val="2"/>
        </w:numPr>
      </w:pPr>
      <w:r>
        <w:rPr>
          <w:sz w:val="22"/>
          <w:szCs w:val="22"/>
        </w:rPr>
        <w:t xml:space="preserve">Hero images should feature low-angle shots emphasizing ground, feet, landscape</w:t>
      </w:r>
    </w:p>
    <w:p>
      <w:pPr>
        <w:pStyle w:val="ListParagraph"/>
        <w:numPr>
          <w:ilvl w:val="0"/>
          <w:numId w:val="2"/>
        </w:numPr>
      </w:pPr>
      <w:r>
        <w:rPr>
          <w:sz w:val="22"/>
          <w:szCs w:val="22"/>
        </w:rPr>
        <w:t xml:space="preserve">The Cobb House appears in background, not foreground</w:t>
      </w:r>
    </w:p>
    <w:p>
      <w:pPr>
        <w:pStyle w:val="ListParagraph"/>
        <w:numPr>
          <w:ilvl w:val="0"/>
          <w:numId w:val="2"/>
        </w:numPr>
      </w:pPr>
      <w:r>
        <w:rPr>
          <w:sz w:val="22"/>
          <w:szCs w:val="22"/>
        </w:rPr>
        <w:t xml:space="preserve">Social media assets: boots on ground, visitor perspective</w:t>
      </w:r>
    </w:p>
    <w:p>
      <w:pPr>
        <w:pStyle w:val="ListParagraph"/>
        <w:numPr>
          <w:ilvl w:val="0"/>
          <w:numId w:val="2"/>
        </w:numPr>
      </w:pPr>
      <w:r>
        <w:rPr>
          <w:sz w:val="22"/>
          <w:szCs w:val="22"/>
        </w:rPr>
        <w:t xml:space="preserve">Avoid: standard building façade shots as primary images</w:t>
      </w:r>
    </w:p>
    <w:p>
      <w:pPr>
        <w:pStyle w:val="ListParagraph"/>
        <w:numPr>
          <w:ilvl w:val="0"/>
          <w:numId w:val="2"/>
        </w:numPr>
      </w:pPr>
      <w:r>
        <w:rPr>
          <w:sz w:val="22"/>
          <w:szCs w:val="22"/>
        </w:rPr>
        <w:t xml:space="preserve">Visual hierarchy must match brand hierarchy: GROUND is the artifact</w:t>
      </w:r>
    </w:p>
    <w:p>
      <w:pPr>
        <w:pStyle w:val="Heading1"/>
      </w:pPr>
      <w:r>
        <w:t xml:space="preserve">The First 250 Campaign</w:t>
      </w:r>
    </w:p>
    <w:p>
      <w:pPr>
        <w:spacing w:after="200"/>
        <w:jc w:val="left"/>
      </w:pPr>
      <w:r>
        <w:rPr>
          <w:sz w:val="24"/>
          <w:szCs w:val="24"/>
        </w:rPr>
        <w:t xml:space="preserve">Goal: Drive urgency and membership enrollment using the Tennessee 230 / America 250 anniversaries.</w:t>
      </w:r>
    </w:p>
    <w:p>
      <w:pPr>
        <w:pStyle w:val="Heading2"/>
      </w:pPr>
      <w:r>
        <w:t xml:space="preserve">The Campaign Hook</w:t>
      </w:r>
    </w:p>
    <w:p>
      <w:pPr>
        <w:shd w:fill="744210" w:val="clear"/>
        <w:spacing w:after="200"/>
        <w:jc w:val="center"/>
      </w:pPr>
      <w:r>
        <w:rPr>
          <w:b/>
          <w:bCs/>
          <w:color w:val="FFFFFF"/>
          <w:sz w:val="28"/>
          <w:szCs w:val="28"/>
        </w:rPr>
        <w:t xml:space="preserve">"Join the First 250. Be part of history."</w:t>
      </w:r>
    </w:p>
    <w:p>
      <w:pPr>
        <w:pStyle w:val="Heading2"/>
      </w:pPr>
      <w:r>
        <w:t xml:space="preserve">The Promise</w:t>
      </w:r>
    </w:p>
    <w:p>
      <w:pPr>
        <w:shd w:fill="F7FAFC" w:val="clear"/>
        <w:spacing w:after="200"/>
      </w:pPr>
      <w:r>
        <w:rPr>
          <w:i/>
          <w:iCs/>
          <w:sz w:val="24"/>
          <w:szCs w:val="24"/>
        </w:rPr>
        <w:t xml:space="preserve">"Enroll by June 1, 2026. All names of the 'First 250' will be read aloud on these capital grounds during our Colonial Independence Day ceremony on July 4th."</w:t>
      </w:r>
    </w:p>
    <w:p>
      <w:pPr>
        <w:pStyle w:val="Heading2"/>
      </w:pPr>
      <w:r>
        <w:t xml:space="preserve">Key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DATE</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EVENT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June 1,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First 250 enrollment closes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June 13-14,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Flag Weekend (Tennessee 230 Peak)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July 4,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Colonial Independence Day — Names read aloud on capital grounds (America 250 Peak)</w:t>
            </w:r>
          </w:p>
        </w:tc>
      </w:tr>
    </w:tbl>
    <w:p>
      <w:r>
        <w:br w:type="page"/>
      </w:r>
    </w:p>
    <w:p>
      <w:pPr>
        <w:pStyle w:val="Heading1"/>
      </w:pPr>
      <w:r>
        <w:t xml:space="preserve">Post-2026 Transition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PERIOD</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STRATEGY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2025-2026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Lead with Plan C (Scarcity) + Tennessee 230 / America 250 urgency. Support with Plan A (Mystery).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Q4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Begin shifting from anniversary/scarcity messaging to permanent positioning.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2027+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Plan A (Mystery) becomes permanent default. "Where Tennessee's Government Began" is the forever claim. Scarcity language retires. Ground framing remains forever.</w:t>
            </w:r>
          </w:p>
        </w:tc>
      </w:tr>
    </w:tbl>
    <w:p>
      <w:pPr>
        <w:pStyle w:val="Heading1"/>
      </w:pPr>
      <w:r>
        <w:t xml:space="preserve">Implementation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AREA</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WHEN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Website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Replace hero with Plan A: "Before there was a Tennessee..."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This week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Website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Add "Stand where they stood" as primary CTA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This week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Website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Remove all building-age claims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This week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Website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Add First 250 enrollment form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This week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Photography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Commission ground-first hero photography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Before 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Photography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Reshoot social assets with ground emphasis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Before 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Staff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Train interpreters on welcome script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Next meeting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Staff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Distribute FAQ response for building questions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Next meeting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Staff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Train on Sycamore differentiation (friendly tone)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Next meeting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Print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Audit brochures—remove building-age claims, "mansion"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Before 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Signage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Order ground markers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When budget allows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Signage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Update main entrance sign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When budget allows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Signage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Install 2026 commemorative banner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Q1 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Press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Update boilerplate in press kit (50w + 100w)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Before 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Brief on reframe rationale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Next board meeting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Campaign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Launch First 250 email blast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Q1 2026</w:t>
            </w:r>
          </w:p>
        </w:tc>
      </w:tr>
    </w:tbl>
    <w:p>
      <w:r>
        <w:br w:type="page"/>
      </w:r>
    </w:p>
    <w:p>
      <w:pPr>
        <w:pStyle w:val="Heading1"/>
      </w:pPr>
      <w:r>
        <w:t xml:space="preserve">Historical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YEAR</w:t>
            </w:r>
          </w:p>
        </w:tc>
        <w:tc>
          <w:tcPr>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EVENT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1770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Cobb family settles this ground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1775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Farm established (Century Farms documentation)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1780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Cobbs supply Overmountain Men for Kings Mountain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1787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William Blount signs the U.S. Constitution in Philadelphia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1790-92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Governor Blount governs from these capital grounds (18 months)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1791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Treaty of Holston negotiated with Cherokee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1796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Southwest Territory becomes State of Tennessee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1827-30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Massengill (Cobb's grandson) builds the house that stands today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2"/>
                <w:szCs w:val="22"/>
              </w:rPr>
              <w:t xml:space="preserve">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2"/>
                <w:szCs w:val="22"/>
              </w:rPr>
              <w:t xml:space="preserve">Tennessee 230 + America 250 commemorations</w:t>
            </w:r>
          </w:p>
        </w:tc>
      </w:tr>
    </w:tbl>
    <w:p>
      <w:r>
        <w:br w:type="page"/>
      </w:r>
    </w:p>
    <w:p>
      <w:pPr>
        <w:pStyle w:val="Heading1"/>
      </w:pPr>
      <w:r>
        <w:t xml:space="preserve">The Director's Vision</w:t>
      </w:r>
    </w:p>
    <w:p>
      <w:pPr>
        <w:shd w:fill="1a365d" w:val="clear"/>
        <w:spacing w:before="200" w:after="300"/>
        <w:jc w:val="center"/>
      </w:pPr>
      <w:r>
        <w:rPr>
          <w:i/>
          <w:iCs/>
          <w:color w:val="FFFFFF"/>
          <w:sz w:val="24"/>
          <w:szCs w:val="24"/>
        </w:rPr>
        <w:t xml:space="preserve">We are no longer selling "old logs." We are selling the Constitutional Ground where Tennessee was made. We aren't competing with other local cabins; we are standing as a National Landmark.</w:t>
      </w:r>
    </w:p>
    <w:p>
      <w:pPr>
        <w:spacing w:before="400" w:after="100"/>
        <w:jc w:val="center"/>
      </w:pPr>
      <w:r>
        <w:rPr>
          <w:i/>
          <w:iCs/>
          <w:color w:val="2c5282"/>
          <w:sz w:val="32"/>
          <w:szCs w:val="32"/>
        </w:rPr>
        <w:t xml:space="preserve">The buildings evolved.</w:t>
      </w:r>
    </w:p>
    <w:p>
      <w:pPr>
        <w:spacing w:after="100"/>
        <w:jc w:val="center"/>
      </w:pPr>
      <w:r>
        <w:rPr>
          <w:i/>
          <w:iCs/>
          <w:color w:val="2c5282"/>
          <w:sz w:val="32"/>
          <w:szCs w:val="32"/>
        </w:rPr>
        <w:t xml:space="preserve">The ground endures.</w:t>
      </w:r>
    </w:p>
    <w:p>
      <w:pPr>
        <w:spacing w:after="400"/>
        <w:jc w:val="center"/>
      </w:pPr>
      <w:r>
        <w:rPr>
          <w:b/>
          <w:bCs/>
          <w:i/>
          <w:iCs/>
          <w:color w:val="1a365d"/>
          <w:sz w:val="36"/>
          <w:szCs w:val="36"/>
        </w:rPr>
        <w:t xml:space="preserve">Tennessee started here.</w:t>
      </w:r>
    </w:p>
    <w:p>
      <w:pPr>
        <w:spacing w:before="200"/>
        <w:jc w:val="center"/>
      </w:pPr>
      <w:r>
        <w:rPr>
          <w:i/>
          <w:iCs/>
          <w:color w:val="718096"/>
          <w:sz w:val="28"/>
          <w:szCs w:val="28"/>
        </w:rPr>
        <w:t xml:space="preserve">The ground remembers. Come walk it.</w:t>
      </w:r>
    </w:p>
    <w:p>
      <w:pPr>
        <w:spacing w:before="600"/>
        <w:jc w:val="center"/>
      </w:pPr>
      <w:r>
        <w:rPr>
          <w:color w:val="718096"/>
          <w:sz w:val="22"/>
          <w:szCs w:val="22"/>
        </w:rPr>
        <w:t xml:space="preserve">Rocky Mount State Historic Site</w:t>
      </w:r>
    </w:p>
    <w:p>
      <w:pPr>
        <w:jc w:val="center"/>
      </w:pPr>
      <w:r>
        <w:rPr>
          <w:color w:val="A0AEC0"/>
          <w:sz w:val="20"/>
          <w:szCs w:val="20"/>
        </w:rPr>
        <w:t xml:space="preserve">Master Source of Truth | Director's Final Version | January 2026 | v4.0</w:t>
      </w:r>
    </w:p>
    <w:p>
      <w:pPr>
        <w:jc w:val="center"/>
      </w:pPr>
      <w:r>
        <w:rPr>
          <w:i/>
          <w:iCs/>
          <w:color w:val="A0AEC0"/>
          <w:sz w:val="18"/>
          <w:szCs w:val="18"/>
        </w:rPr>
        <w:t xml:space="preserve">Fact-Checked | Brand-Aligned | Implementation-Ready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365d"/>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c5282"/>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2026-01-27T22:09:38.523Z</dcterms:created>
  <dcterms:modified xsi:type="dcterms:W3CDTF">2026-01-27T22:09:38.525Z</dcterms:modified>
</cp:coreProperties>
</file>

<file path=docProps/custom.xml><?xml version="1.0" encoding="utf-8"?>
<Properties xmlns="http://schemas.openxmlformats.org/officeDocument/2006/custom-properties" xmlns:vt="http://schemas.openxmlformats.org/officeDocument/2006/docPropsVTypes"/>
</file>