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bCs/>
          <w:sz w:val="36"/>
        </w:rPr>
      </w:pPr>
      <w:r>
        <w:rPr>
          <w:rFonts w:hint="eastAsia"/>
          <w:b/>
          <w:bCs/>
          <w:sz w:val="44"/>
          <w:szCs w:val="44"/>
        </w:rPr>
        <w:t>杭 州 电 子 科 技 大 学</w:t>
      </w:r>
    </w:p>
    <w:p>
      <w:pPr>
        <w:pStyle w:val="Normal"/>
        <w:jc w:val="center"/>
        <w:rPr>
          <w:rFonts w:hint="eastAsia"/>
          <w:b/>
          <w:bCs/>
          <w:sz w:val="36"/>
          <w:szCs w:val="21"/>
        </w:rPr>
      </w:pPr>
      <w:r>
        <w:rPr>
          <w:rFonts w:hint="eastAsia"/>
          <w:b/>
          <w:bCs/>
          <w:sz w:val="36"/>
        </w:rPr>
        <w:t>毕业设计（论文）任务书</w:t>
      </w:r>
    </w:p>
    <w:p>
      <w:pPr>
        <w:pStyle w:val="Normal"/>
        <w:jc w:val="center"/>
        <w:rPr>
          <w:rFonts w:hint="eastAsia"/>
          <w:b/>
          <w:bCs/>
          <w:sz w:val="36"/>
          <w:szCs w:val="21"/>
        </w:rPr>
      </w:pPr>
      <w:r>
        <w:rPr>
          <w:rFonts w:hint="eastAsia"/>
          <w:b/>
          <w:bCs/>
          <w:sz w:val="36"/>
          <w:szCs w:val="21"/>
        </w:rPr>
      </w:r>
    </w:p>
    <w:tbl>
      <w:tblPr>
        <w:tblW w:w="9134" w:type="dxa"/>
        <w:jc w:val="center"/>
        <w:tblInd w:w="0" w:type="dxa"/>
        <w:tblLayout w:type="fixed"/>
        <w:tblCellMar>
          <w:top w:w="0" w:type="dxa"/>
          <w:start w:w="108" w:type="dxa"/>
          <w:bottom w:w="0" w:type="dxa"/>
          <w:end w:w="108" w:type="dxa"/>
        </w:tblCellMar>
      </w:tblPr>
      <w:tblGrid>
        <w:gridCol w:w="1291"/>
        <w:gridCol w:w="1620"/>
        <w:gridCol w:w="1164"/>
        <w:gridCol w:w="2256"/>
        <w:gridCol w:w="1108"/>
        <w:gridCol w:w="1695"/>
      </w:tblGrid>
      <w:tr>
        <w:trPr>
          <w:trHeight w:val="617" w:hRule="atLeast"/>
        </w:trPr>
        <w:tc>
          <w:tcPr>
            <w:tcW w:w="1291" w:type="dxa"/>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学    院</w:t>
            </w:r>
          </w:p>
        </w:tc>
        <w:tc>
          <w:tcPr>
            <w:tcW w:w="1620" w:type="dxa"/>
            <w:tcBorders>
              <w:bottom w:val="single" w:sz="4" w:space="0" w:color="000000"/>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计算机学院</w:t>
            </w:r>
          </w:p>
        </w:tc>
        <w:tc>
          <w:tcPr>
            <w:tcW w:w="1164" w:type="dxa"/>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专    业</w:t>
            </w:r>
          </w:p>
        </w:tc>
        <w:tc>
          <w:tcPr>
            <w:tcW w:w="2256" w:type="dxa"/>
            <w:tcBorders>
              <w:bottom w:val="single" w:sz="4" w:space="0" w:color="000000"/>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计算机科学与技术</w:t>
            </w:r>
          </w:p>
        </w:tc>
        <w:tc>
          <w:tcPr>
            <w:tcW w:w="1108" w:type="dxa"/>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班   级</w:t>
            </w:r>
          </w:p>
        </w:tc>
        <w:tc>
          <w:tcPr>
            <w:tcW w:w="1695" w:type="dxa"/>
            <w:tcBorders>
              <w:bottom w:val="single" w:sz="4" w:space="0" w:color="000000"/>
            </w:tcBorders>
            <w:vAlign w:val="bottom"/>
          </w:tcPr>
          <w:p>
            <w:pPr>
              <w:pStyle w:val="Normal"/>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22052323</w:t>
            </w:r>
          </w:p>
        </w:tc>
      </w:tr>
      <w:tr>
        <w:trPr>
          <w:trHeight w:val="627" w:hRule="atLeast"/>
        </w:trPr>
        <w:tc>
          <w:tcPr>
            <w:tcW w:w="1291" w:type="dxa"/>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学生姓名</w:t>
            </w:r>
          </w:p>
        </w:tc>
        <w:tc>
          <w:tcPr>
            <w:tcW w:w="1620" w:type="dxa"/>
            <w:tcBorders>
              <w:top w:val="single" w:sz="4" w:space="0" w:color="000000"/>
              <w:bottom w:val="single" w:sz="4" w:space="0" w:color="000000"/>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林柏伟</w:t>
            </w:r>
          </w:p>
        </w:tc>
        <w:tc>
          <w:tcPr>
            <w:tcW w:w="1164" w:type="dxa"/>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指导教师</w:t>
            </w:r>
          </w:p>
        </w:tc>
        <w:tc>
          <w:tcPr>
            <w:tcW w:w="2256" w:type="dxa"/>
            <w:tcBorders>
              <w:top w:val="single" w:sz="4" w:space="0" w:color="000000"/>
              <w:bottom w:val="single" w:sz="4" w:space="0" w:color="000000"/>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匡振中</w:t>
            </w:r>
          </w:p>
        </w:tc>
        <w:tc>
          <w:tcPr>
            <w:tcW w:w="1108" w:type="dxa"/>
            <w:tcBorders/>
            <w:vAlign w:val="bottom"/>
          </w:tcPr>
          <w:p>
            <w:pPr>
              <w:pStyle w:val="Normal"/>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学   号</w:t>
            </w:r>
          </w:p>
        </w:tc>
        <w:tc>
          <w:tcPr>
            <w:tcW w:w="1695" w:type="dxa"/>
            <w:tcBorders>
              <w:top w:val="single" w:sz="4" w:space="0" w:color="000000"/>
              <w:bottom w:val="single" w:sz="4" w:space="0" w:color="000000"/>
            </w:tcBorders>
            <w:vAlign w:val="bottom"/>
          </w:tcPr>
          <w:p>
            <w:pPr>
              <w:pStyle w:val="Normal"/>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22010210</w:t>
            </w:r>
          </w:p>
        </w:tc>
      </w:tr>
    </w:tbl>
    <w:p>
      <w:pPr>
        <w:pStyle w:val="Normal"/>
        <w:rPr>
          <w:rFonts w:hint="eastAsia"/>
          <w:b/>
          <w:bCs/>
        </w:rPr>
      </w:pPr>
      <w:r>
        <w:rPr>
          <w:rFonts w:hint="eastAsia"/>
          <w:b/>
          <w:bCs/>
        </w:rPr>
      </w:r>
    </w:p>
    <w:p>
      <w:pPr>
        <w:pStyle w:val="Normal"/>
        <w:rPr>
          <w:rFonts w:ascii="宋体;汉仪书宋二KW" w:hAnsi="宋体;汉仪书宋二KW" w:cs="宋体;汉仪书宋二KW" w:hint="eastAsia"/>
          <w:b/>
          <w:sz w:val="28"/>
          <w:szCs w:val="28"/>
        </w:rPr>
      </w:pPr>
      <w:r>
        <w:rPr>
          <w:rFonts w:hint="eastAsia"/>
          <w:b/>
          <w:bCs/>
          <w:sz w:val="28"/>
        </w:rPr>
        <w:t>一、题目</w:t>
      </w:r>
    </w:p>
    <w:tbl>
      <w:tblPr>
        <w:tblW w:w="8460" w:type="dxa"/>
        <w:jc w:val="start"/>
        <w:tblInd w:w="648" w:type="dxa"/>
        <w:tblLayout w:type="fixed"/>
        <w:tblCellMar>
          <w:top w:w="0" w:type="dxa"/>
          <w:start w:w="108" w:type="dxa"/>
          <w:bottom w:w="0" w:type="dxa"/>
          <w:end w:w="108" w:type="dxa"/>
        </w:tblCellMar>
      </w:tblPr>
      <w:tblGrid>
        <w:gridCol w:w="8460"/>
      </w:tblGrid>
      <w:tr>
        <w:trPr/>
        <w:tc>
          <w:tcPr>
            <w:tcW w:w="8460" w:type="dxa"/>
            <w:tcBorders/>
            <w:vAlign w:val="center"/>
          </w:tcPr>
          <w:p>
            <w:pPr>
              <w:pStyle w:val="Normal"/>
              <w:jc w:val="center"/>
              <w:rPr>
                <w:rFonts w:ascii="宋体;汉仪书宋二KW" w:hAnsi="宋体;汉仪书宋二KW" w:cs="宋体;汉仪书宋二KW" w:hint="eastAsia"/>
                <w:b/>
                <w:sz w:val="28"/>
                <w:szCs w:val="28"/>
              </w:rPr>
            </w:pPr>
            <w:r>
              <w:rPr>
                <w:rFonts w:ascii="宋体;汉仪书宋二KW" w:hAnsi="宋体;汉仪书宋二KW" w:cs="宋体;汉仪书宋二KW" w:hint="eastAsia"/>
                <w:b/>
                <w:sz w:val="28"/>
                <w:szCs w:val="28"/>
              </w:rPr>
              <w:t>基于大模型的中小学生智能编程学习平台设计与实现</w:t>
            </w:r>
          </w:p>
        </w:tc>
      </w:tr>
    </w:tbl>
    <w:p>
      <w:pPr>
        <w:pStyle w:val="Normal"/>
        <w:rPr>
          <w:rFonts w:hint="eastAsia"/>
        </w:rPr>
      </w:pPr>
      <w:r>
        <w:rPr>
          <w:rFonts w:hint="eastAsia"/>
        </w:rPr>
      </w:r>
    </w:p>
    <w:p>
      <w:pPr>
        <w:pStyle w:val="Normal"/>
        <w:rPr/>
      </w:pPr>
      <w:r>
        <w:rPr>
          <w:rFonts w:hint="eastAsia"/>
          <w:b/>
          <w:bCs/>
          <w:sz w:val="28"/>
        </w:rPr>
        <w:t>二、内容和要求</w:t>
      </w:r>
      <w:r>
        <w:rPr>
          <w:rFonts w:hint="eastAsia"/>
        </w:rPr>
        <w:t>【理、工科类：包括需达到的技术指标、规定阅读的文献（不得少于</w:t>
      </w:r>
      <w:r>
        <w:rPr>
          <w:rFonts w:hint="eastAsia"/>
        </w:rPr>
        <w:t>12</w:t>
      </w:r>
      <w:r>
        <w:rPr>
          <w:rFonts w:hint="eastAsia"/>
        </w:rPr>
        <w:t>篇，其中外文文献不得少于</w:t>
      </w:r>
      <w:r>
        <w:rPr>
          <w:rFonts w:hint="eastAsia"/>
        </w:rPr>
        <w:t>2</w:t>
      </w:r>
      <w:r>
        <w:rPr>
          <w:rFonts w:hint="eastAsia"/>
        </w:rPr>
        <w:t>篇，发表在期刊上的学术论文不得少于</w:t>
      </w:r>
      <w:r>
        <w:rPr>
          <w:rFonts w:hint="eastAsia"/>
        </w:rPr>
        <w:t>4</w:t>
      </w:r>
      <w:r>
        <w:rPr>
          <w:rFonts w:hint="eastAsia"/>
        </w:rPr>
        <w:t>篇）、应完成的图纸和说明书等】</w:t>
      </w:r>
    </w:p>
    <w:tbl>
      <w:tblPr>
        <w:tblW w:w="8820" w:type="dxa"/>
        <w:jc w:val="start"/>
        <w:tblInd w:w="288" w:type="dxa"/>
        <w:tblLayout w:type="fixed"/>
        <w:tblCellMar>
          <w:top w:w="0" w:type="dxa"/>
          <w:start w:w="108" w:type="dxa"/>
          <w:bottom w:w="0" w:type="dxa"/>
          <w:end w:w="108" w:type="dxa"/>
        </w:tblCellMar>
      </w:tblPr>
      <w:tblGrid>
        <w:gridCol w:w="8820"/>
      </w:tblGrid>
      <w:tr>
        <w:trPr>
          <w:trHeight w:val="3119" w:hRule="atLeast"/>
        </w:trPr>
        <w:tc>
          <w:tcPr>
            <w:tcW w:w="8820" w:type="dxa"/>
            <w:tcBorders/>
          </w:tcPr>
          <w:p>
            <w:pPr>
              <w:pStyle w:val="Normal"/>
              <w:rPr/>
            </w:pPr>
            <w:r>
              <w:rPr/>
              <w:t>1.</w:t>
            </w:r>
            <w:r>
              <w:rPr/>
              <w:t>任务说明：</w:t>
            </w:r>
            <w:r>
              <w:rPr/>
              <w:br/>
            </w:r>
            <w:r>
              <w:rPr/>
              <w:t>本项目旨在设计并实现一套面向中小学编程学习场景的智能编程学习平台，围绕课程学习、在线编程、学习过程记录与大模型驱动的智能辅学等核心教学环节开展系统建设。</w:t>
            </w:r>
            <w:r>
              <w:rPr/>
              <w:br/>
            </w:r>
            <w:r>
              <w:rPr/>
              <w:t>（</w:t>
            </w:r>
            <w:r>
              <w:rPr/>
              <w:t>1</w:t>
            </w:r>
            <w:r>
              <w:rPr/>
              <w:t>）业务功能：完成用户认证与权限控制，支持课程与知识点管理、学习任务与在线编程实践、师生消息互动、教学资源管理以及学习行为记录与事件追踪等功能；</w:t>
            </w:r>
            <w:r>
              <w:rPr/>
              <w:br/>
            </w:r>
            <w:r>
              <w:rPr/>
              <w:t>（</w:t>
            </w:r>
            <w:r>
              <w:rPr/>
              <w:t>2</w:t>
            </w:r>
            <w:r>
              <w:rPr/>
              <w:t xml:space="preserve">）前端实现：采用 </w:t>
            </w:r>
            <w:r>
              <w:rPr/>
              <w:t xml:space="preserve">Nuxt 3 </w:t>
            </w:r>
            <w:r>
              <w:rPr/>
              <w:t xml:space="preserve">与 </w:t>
            </w:r>
            <w:r>
              <w:rPr/>
              <w:t xml:space="preserve">Vue 3 </w:t>
            </w:r>
            <w:r>
              <w:rPr/>
              <w:t xml:space="preserve">构建 </w:t>
            </w:r>
            <w:r>
              <w:rPr/>
              <w:t xml:space="preserve">Web </w:t>
            </w:r>
            <w:r>
              <w:rPr/>
              <w:t xml:space="preserve">前端，结合 </w:t>
            </w:r>
            <w:r>
              <w:rPr/>
              <w:t>TypeScript</w:t>
            </w:r>
            <w:r>
              <w:rPr/>
              <w:t>、</w:t>
            </w:r>
            <w:r>
              <w:rPr/>
              <w:t xml:space="preserve">Tailwind CSS </w:t>
            </w:r>
            <w:r>
              <w:rPr/>
              <w:t xml:space="preserve">与 </w:t>
            </w:r>
            <w:r>
              <w:rPr/>
              <w:t xml:space="preserve">DaisyUI </w:t>
            </w:r>
            <w:r>
              <w:rPr/>
              <w:t>完成页面与组件化界面开发；</w:t>
            </w:r>
            <w:r>
              <w:rPr/>
              <w:br/>
            </w:r>
            <w:r>
              <w:rPr/>
              <w:t>（</w:t>
            </w:r>
            <w:r>
              <w:rPr/>
              <w:t>3</w:t>
            </w:r>
            <w:r>
              <w:rPr/>
              <w:t xml:space="preserve">）后端与数据层：采用 </w:t>
            </w:r>
            <w:r>
              <w:rPr/>
              <w:t xml:space="preserve">FastAPI </w:t>
            </w:r>
            <w:r>
              <w:rPr/>
              <w:t xml:space="preserve">与 </w:t>
            </w:r>
            <w:r>
              <w:rPr/>
              <w:t xml:space="preserve">SQLAlchemy </w:t>
            </w:r>
            <w:r>
              <w:rPr/>
              <w:t xml:space="preserve">提供 </w:t>
            </w:r>
            <w:r>
              <w:rPr/>
              <w:t xml:space="preserve">REST </w:t>
            </w:r>
            <w:r>
              <w:rPr/>
              <w:t xml:space="preserve">接口与业务逻辑，使用 </w:t>
            </w:r>
            <w:r>
              <w:rPr/>
              <w:t xml:space="preserve">SQL Server </w:t>
            </w:r>
            <w:r>
              <w:rPr/>
              <w:t xml:space="preserve">持久化业务数据，引入 </w:t>
            </w:r>
            <w:r>
              <w:rPr/>
              <w:t xml:space="preserve">Redis </w:t>
            </w:r>
            <w:r>
              <w:rPr/>
              <w:t>承担缓存与热点加速，教学资源使用对象存储进行统一管理与分发；</w:t>
            </w:r>
            <w:r>
              <w:rPr/>
              <w:br/>
            </w:r>
            <w:r>
              <w:rPr/>
              <w:t>（</w:t>
            </w:r>
            <w:r>
              <w:rPr/>
              <w:t>4</w:t>
            </w:r>
            <w:r>
              <w:rPr/>
              <w:t xml:space="preserve">）在线编程与安全：学生侧 </w:t>
            </w:r>
            <w:r>
              <w:rPr/>
              <w:t xml:space="preserve">Python </w:t>
            </w:r>
            <w:r>
              <w:rPr/>
              <w:t xml:space="preserve">代码在前端通过 </w:t>
            </w:r>
            <w:r>
              <w:rPr/>
              <w:t xml:space="preserve">Pyodide </w:t>
            </w:r>
            <w:r>
              <w:rPr/>
              <w:t>于浏览器沙箱中执行，后端聚焦鉴权、审计日志与课程</w:t>
            </w:r>
            <w:r>
              <w:rPr/>
              <w:t>/</w:t>
            </w:r>
            <w:r>
              <w:rPr/>
              <w:t>任务等业务服务，降低服务端任意代码执行风险；</w:t>
            </w:r>
            <w:r>
              <w:rPr/>
              <w:br/>
            </w:r>
            <w:r>
              <w:rPr/>
              <w:t>（</w:t>
            </w:r>
            <w:r>
              <w:rPr/>
              <w:t>5</w:t>
            </w:r>
            <w:r>
              <w:rPr/>
              <w:t>）大模型辅学：集成大语言模型服务接口，支持编程问答、代码与报错解释、任务分步引导以及面向中小学生认知特点的输出约束与引导策略；</w:t>
            </w:r>
            <w:r>
              <w:rPr/>
              <w:br/>
            </w:r>
            <w:r>
              <w:rPr/>
              <w:t>（</w:t>
            </w:r>
            <w:r>
              <w:rPr/>
              <w:t>6</w:t>
            </w:r>
            <w:r>
              <w:rPr/>
              <w:t>）系统验证：完成需求分析、总体设计、核心模块实现与功能</w:t>
            </w:r>
            <w:r>
              <w:rPr/>
              <w:t>/</w:t>
            </w:r>
            <w:r>
              <w:rPr/>
              <w:t>非功能测试，撰写毕业设计说明书并完成学位论文规定的图表与技术文档。</w:t>
            </w:r>
            <w:r>
              <w:rPr/>
              <w:br/>
              <w:br/>
              <w:t>2.</w:t>
            </w:r>
            <w:r>
              <w:rPr/>
              <w:t>任务要求：</w:t>
            </w:r>
            <w:r>
              <w:rPr/>
              <w:br/>
            </w:r>
            <w:r>
              <w:rPr/>
              <w:t>（</w:t>
            </w:r>
            <w:r>
              <w:rPr/>
              <w:t>1</w:t>
            </w:r>
            <w:r>
              <w:rPr/>
              <w:t>）能够积极、主动且认真地学习并完成任务；</w:t>
            </w:r>
            <w:r>
              <w:rPr/>
              <w:br/>
            </w:r>
            <w:r>
              <w:rPr/>
              <w:t>（</w:t>
            </w:r>
            <w:r>
              <w:rPr/>
              <w:t>2</w:t>
            </w:r>
            <w:r>
              <w:rPr/>
              <w:t xml:space="preserve">）具备 </w:t>
            </w:r>
            <w:r>
              <w:rPr/>
              <w:t xml:space="preserve">Web </w:t>
            </w:r>
            <w:r>
              <w:rPr/>
              <w:t xml:space="preserve">应用开发基础，熟悉 </w:t>
            </w:r>
            <w:r>
              <w:rPr/>
              <w:t>Python</w:t>
            </w:r>
            <w:r>
              <w:rPr/>
              <w:t>、</w:t>
            </w:r>
            <w:r>
              <w:rPr/>
              <w:t xml:space="preserve">JavaScript/TypeScript </w:t>
            </w:r>
            <w:r>
              <w:rPr/>
              <w:t>及常用前后端框架；</w:t>
            </w:r>
            <w:r>
              <w:rPr/>
              <w:br/>
            </w:r>
            <w:r>
              <w:rPr/>
              <w:t>（</w:t>
            </w:r>
            <w:r>
              <w:rPr/>
              <w:t>3</w:t>
            </w:r>
            <w:r>
              <w:rPr/>
              <w:t>）关注中小学编程教育场景下的可用性、安全性与数据合规，按要求完成开题、中期与论文撰写环节。</w:t>
            </w:r>
            <w:r>
              <w:rPr/>
              <w:br/>
              <w:br/>
              <w:t>3.</w:t>
            </w:r>
            <w:r>
              <w:rPr/>
              <w:t>参考文献：</w:t>
            </w:r>
            <w:r>
              <w:rPr/>
              <w:br/>
              <w:t>Wang S, Xu T, Li H, et al. Large Language Models for Education: A Survey and Outlook[EB/OL]. arXiv:2403.18105, 2024.</w:t>
              <w:br/>
              <w:t>Raihan N, Siddiq M L, Santos J C S, et al. Large Language Models in Computer Science Education: A Systematic Literature Review[C]// Proceedings of the 56th ACM Technical Symposium on Computer Science Education. New York: ACM, 2025: 938-944.</w:t>
              <w:br/>
              <w:t>Pitts G, Hridi A P, Lekshmi-Narayanan A B. A Survey of LLM-Based Applications in Programming Education: Balancing Automation and Human Oversight[EB/OL]. arXiv:2510.03719, 2025.</w:t>
              <w:br/>
              <w:t>Tang B, Liang J, Hu W, et al. Enhancing Programming Performance, Learning Interest, and Self-Efficacy: The Role of Large Language Models in Middle School Education[J]. Systems, 2025, 13(7): 555.</w:t>
              <w:br/>
              <w:t>Yan Y M, Chen C Q, Hu Y B, et al. LLM-based collaborative programming: impact on students' computational thinking and self-efficacy[J]. Humanities and Social Sciences Communications, 2025, 12(1): 149.</w:t>
              <w:br/>
              <w:t>Pirzado F A, Ahmed A, Mendoza-Urdiales R A, et al. Navigating the Pitfalls: Analyzing the Behavior of LLMs as a Coding Assistant for Computer Science Students[J]. IEEE Access, 2024, 12: 112605-112625.</w:t>
              <w:br/>
              <w:t>Chen S J, Shan X, Liu Z M, et al. Employing large language models to enhance K-12 students' programming debugging skills, computational thinking, and self-efficacy[J]. Educational Technology &amp; Society, 2025, 28(2): 259-278.</w:t>
              <w:br/>
              <w:t>Yim I H Y, Su J. Artificial intelligence (AI) learning tools in K-12 education: A scoping review[J]. Journal of Computers in Education, 2024, DOI: 10.1007/s40692-023-00304-9.</w:t>
              <w:br/>
              <w:t>Tsai M J, Liang J C, Hsu C Y. The Computational Thinking Scale for Computer Literacy Education[J]. Journal of Educational Computing Research, 2021, 59(4): 579-602.</w:t>
              <w:br/>
              <w:t>Sun D, Zhu C, Xu F, et al. Transitioning from introductory to professional programming in secondary education: Comparing learners' computational thinking skills, behaviors, and attitudes[J]. Journal of Educational Computing Research, 2023, DOI: 10.1177/07356331231204653.</w:t>
              <w:br/>
              <w:t>Touretzky D, Gardner-McCune C, Martin F, et al. Envisioning AI for K-12: What Should Every Child Know about AI?[C]// Proceedings of the AAAI Conference on Artificial Intelligence. 2019, 33(1): 9795-9799.</w:t>
              <w:br/>
            </w:r>
            <w:r>
              <w:rPr/>
              <w:t>姚佳佳，李艳，潘金晶，等。同伴对话反馈对大学生在线深度学习的影响研究</w:t>
            </w:r>
            <w:r>
              <w:rPr/>
              <w:t xml:space="preserve">[J]. </w:t>
            </w:r>
            <w:r>
              <w:rPr/>
              <w:t>华东师范大学学报（教育科学版）</w:t>
            </w:r>
            <w:r>
              <w:rPr/>
              <w:t>, 2022, 40(3): 112-126.</w:t>
              <w:br/>
            </w:r>
            <w:r>
              <w:rPr/>
              <w:t>教育部基础教育教学指导委员会。中小学生生成式人工智能使用指南（</w:t>
            </w:r>
            <w:r>
              <w:rPr/>
              <w:t xml:space="preserve">2025 </w:t>
            </w:r>
            <w:r>
              <w:rPr/>
              <w:t>年版）</w:t>
            </w:r>
            <w:r>
              <w:rPr/>
              <w:t xml:space="preserve">[Z]. </w:t>
            </w:r>
            <w:r>
              <w:rPr/>
              <w:t>北京：教育部，</w:t>
            </w:r>
            <w:r>
              <w:rPr/>
              <w:t>2025.</w:t>
              <w:br/>
            </w:r>
          </w:p>
        </w:tc>
      </w:tr>
    </w:tbl>
    <w:p>
      <w:pPr>
        <w:pStyle w:val="Normal"/>
        <w:rPr>
          <w:rFonts w:eastAsia="Times New Roman" w:cs="Times New Roman"/>
        </w:rPr>
      </w:pPr>
      <w:r>
        <w:rPr>
          <w:rFonts w:eastAsia="Times New Roman" w:cs="Times New Roman"/>
        </w:rPr>
      </w:r>
    </w:p>
    <w:p>
      <w:pPr>
        <w:pStyle w:val="Normal"/>
        <w:rPr>
          <w:rFonts w:ascii="宋体;汉仪书宋二KW" w:hAnsi="宋体;汉仪书宋二KW" w:eastAsia="Times New Roman" w:cs="宋体;汉仪书宋二KW" w:hint="eastAsia"/>
          <w:b/>
          <w:bCs/>
          <w:szCs w:val="21"/>
        </w:rPr>
      </w:pPr>
      <w:r>
        <w:rPr>
          <w:rFonts w:ascii="Times New Roman" w:hAnsi="Times New Roman" w:cs="Times New Roman" w:hint="eastAsia" w:eastAsia="Times New Roman"/>
          <w:b/>
          <w:bCs/>
          <w:sz w:val="28"/>
        </w:rPr>
        <w:t>三、</w:t>
      </w:r>
      <w:r>
        <w:rPr>
          <w:rFonts w:ascii="Times New Roman" w:hAnsi="Times New Roman" w:cs="Times New Roman" w:hint="eastAsia" w:eastAsia="Times New Roman"/>
          <w:b/>
          <w:bCs/>
          <w:sz w:val="28"/>
          <w:szCs w:val="28"/>
        </w:rPr>
        <w:t>起止</w:t>
      </w:r>
      <w:r>
        <w:rPr>
          <w:rFonts w:ascii="Times New Roman" w:hAnsi="Times New Roman" w:cs="Times New Roman" w:hint="eastAsia" w:eastAsia="Times New Roman"/>
          <w:b/>
          <w:bCs/>
          <w:sz w:val="28"/>
        </w:rPr>
        <w:t>日期及进度安排</w:t>
      </w:r>
    </w:p>
    <w:tbl>
      <w:tblPr>
        <w:tblW w:w="8411" w:type="dxa"/>
        <w:jc w:val="center"/>
        <w:tblInd w:w="0" w:type="dxa"/>
        <w:tblLayout w:type="fixed"/>
        <w:tblCellMar>
          <w:top w:w="0" w:type="dxa"/>
          <w:start w:w="108" w:type="dxa"/>
          <w:bottom w:w="0" w:type="dxa"/>
          <w:end w:w="108" w:type="dxa"/>
        </w:tblCellMar>
      </w:tblPr>
      <w:tblGrid>
        <w:gridCol w:w="1388"/>
        <w:gridCol w:w="723"/>
        <w:gridCol w:w="540"/>
        <w:gridCol w:w="540"/>
        <w:gridCol w:w="540"/>
        <w:gridCol w:w="540"/>
        <w:gridCol w:w="900"/>
        <w:gridCol w:w="720"/>
        <w:gridCol w:w="540"/>
        <w:gridCol w:w="540"/>
        <w:gridCol w:w="540"/>
        <w:gridCol w:w="428"/>
        <w:gridCol w:w="472"/>
      </w:tblGrid>
      <w:tr>
        <w:trPr>
          <w:trHeight w:val="475" w:hRule="exact"/>
        </w:trPr>
        <w:tc>
          <w:tcPr>
            <w:tcW w:w="1388" w:type="dxa"/>
            <w:tcBorders/>
            <w:vAlign w:val="bottom"/>
          </w:tcPr>
          <w:p>
            <w:pPr>
              <w:pStyle w:val="Normal"/>
              <w:spacing w:lineRule="auto" w:line="360"/>
              <w:jc w:val="center"/>
              <w:rPr>
                <w:rFonts w:ascii="宋体;汉仪书宋二KW" w:hAnsi="宋体;汉仪书宋二KW" w:eastAsia="Times New Roman" w:cs="宋体;汉仪书宋二KW" w:hint="eastAsia"/>
                <w:b/>
                <w:bCs/>
                <w:szCs w:val="21"/>
              </w:rPr>
            </w:pPr>
            <w:r>
              <w:rPr>
                <w:rFonts w:ascii="宋体;汉仪书宋二KW" w:hAnsi="宋体;汉仪书宋二KW" w:cs="宋体;汉仪书宋二KW" w:hint="eastAsia" w:eastAsia="Times New Roman"/>
                <w:b/>
                <w:bCs/>
                <w:szCs w:val="21"/>
              </w:rPr>
              <w:t>起止日期：</w:t>
            </w:r>
          </w:p>
        </w:tc>
        <w:tc>
          <w:tcPr>
            <w:tcW w:w="723" w:type="dxa"/>
            <w:tcBorders>
              <w:bottom w:val="single" w:sz="4" w:space="0" w:color="000000"/>
            </w:tcBorders>
            <w:vAlign w:val="bottom"/>
          </w:tcPr>
          <w:p>
            <w:pPr>
              <w:pStyle w:val="Normal"/>
              <w:spacing w:lineRule="auto" w:line="360"/>
              <w:jc w:val="center"/>
              <w:rPr>
                <w:rFonts w:ascii="宋体;汉仪书宋二KW" w:hAnsi="宋体;汉仪书宋二KW" w:eastAsia="Times New Roman" w:cs="宋体;汉仪书宋二KW" w:hint="eastAsia"/>
                <w:b/>
                <w:bCs/>
                <w:szCs w:val="21"/>
              </w:rPr>
            </w:pPr>
            <w:r>
              <w:rPr>
                <w:rFonts w:eastAsia="Times New Roman" w:cs="宋体;汉仪书宋二KW" w:hint="eastAsia" w:ascii="宋体;汉仪书宋二KW" w:hAnsi="宋体;汉仪书宋二KW"/>
                <w:b/>
                <w:bCs/>
                <w:szCs w:val="21"/>
              </w:rPr>
              <w:t>2025</w:t>
            </w:r>
          </w:p>
        </w:tc>
        <w:tc>
          <w:tcPr>
            <w:tcW w:w="540" w:type="dxa"/>
            <w:tcBorders/>
            <w:vAlign w:val="bottom"/>
          </w:tcPr>
          <w:p>
            <w:pPr>
              <w:pStyle w:val="Normal"/>
              <w:spacing w:lineRule="auto" w:line="360"/>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年</w:t>
            </w:r>
          </w:p>
        </w:tc>
        <w:tc>
          <w:tcPr>
            <w:tcW w:w="540" w:type="dxa"/>
            <w:tcBorders>
              <w:bottom w:val="single" w:sz="4" w:space="0" w:color="000000"/>
            </w:tcBorders>
            <w:vAlign w:val="bottom"/>
          </w:tcPr>
          <w:p>
            <w:pPr>
              <w:pStyle w:val="Normal"/>
              <w:spacing w:lineRule="auto" w:line="360"/>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10</w:t>
            </w:r>
          </w:p>
        </w:tc>
        <w:tc>
          <w:tcPr>
            <w:tcW w:w="540" w:type="dxa"/>
            <w:tcBorders/>
            <w:vAlign w:val="bottom"/>
          </w:tcPr>
          <w:p>
            <w:pPr>
              <w:pStyle w:val="Normal"/>
              <w:spacing w:lineRule="auto" w:line="360"/>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月</w:t>
            </w:r>
          </w:p>
        </w:tc>
        <w:tc>
          <w:tcPr>
            <w:tcW w:w="540" w:type="dxa"/>
            <w:tcBorders>
              <w:bottom w:val="single" w:sz="4" w:space="0" w:color="000000"/>
            </w:tcBorders>
            <w:vAlign w:val="bottom"/>
          </w:tcPr>
          <w:p>
            <w:pPr>
              <w:pStyle w:val="Normal"/>
              <w:spacing w:lineRule="auto" w:line="360"/>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31</w:t>
            </w:r>
          </w:p>
        </w:tc>
        <w:tc>
          <w:tcPr>
            <w:tcW w:w="900" w:type="dxa"/>
            <w:tcBorders/>
            <w:vAlign w:val="bottom"/>
          </w:tcPr>
          <w:p>
            <w:pPr>
              <w:pStyle w:val="Normal"/>
              <w:spacing w:lineRule="auto" w:line="360"/>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日 至</w:t>
            </w:r>
          </w:p>
        </w:tc>
        <w:tc>
          <w:tcPr>
            <w:tcW w:w="720" w:type="dxa"/>
            <w:tcBorders>
              <w:bottom w:val="single" w:sz="4" w:space="0" w:color="000000"/>
            </w:tcBorders>
            <w:vAlign w:val="bottom"/>
          </w:tcPr>
          <w:p>
            <w:pPr>
              <w:pStyle w:val="Normal"/>
              <w:spacing w:lineRule="auto" w:line="360"/>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2026</w:t>
            </w:r>
          </w:p>
        </w:tc>
        <w:tc>
          <w:tcPr>
            <w:tcW w:w="540" w:type="dxa"/>
            <w:tcBorders/>
            <w:vAlign w:val="bottom"/>
          </w:tcPr>
          <w:p>
            <w:pPr>
              <w:pStyle w:val="Normal"/>
              <w:spacing w:lineRule="auto" w:line="360"/>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年</w:t>
            </w:r>
          </w:p>
        </w:tc>
        <w:tc>
          <w:tcPr>
            <w:tcW w:w="540" w:type="dxa"/>
            <w:tcBorders>
              <w:bottom w:val="single" w:sz="4" w:space="0" w:color="000000"/>
            </w:tcBorders>
            <w:vAlign w:val="bottom"/>
          </w:tcPr>
          <w:p>
            <w:pPr>
              <w:pStyle w:val="Normal"/>
              <w:spacing w:lineRule="auto" w:line="360"/>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4</w:t>
            </w:r>
          </w:p>
        </w:tc>
        <w:tc>
          <w:tcPr>
            <w:tcW w:w="540" w:type="dxa"/>
            <w:tcBorders/>
            <w:vAlign w:val="bottom"/>
          </w:tcPr>
          <w:p>
            <w:pPr>
              <w:pStyle w:val="Normal"/>
              <w:spacing w:lineRule="auto" w:line="360"/>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月</w:t>
            </w:r>
          </w:p>
        </w:tc>
        <w:tc>
          <w:tcPr>
            <w:tcW w:w="428" w:type="dxa"/>
            <w:tcBorders>
              <w:bottom w:val="single" w:sz="4" w:space="0" w:color="000000"/>
            </w:tcBorders>
            <w:vAlign w:val="bottom"/>
          </w:tcPr>
          <w:p>
            <w:pPr>
              <w:pStyle w:val="Normal"/>
              <w:spacing w:lineRule="auto" w:line="360"/>
              <w:jc w:val="center"/>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t>21</w:t>
            </w:r>
          </w:p>
        </w:tc>
        <w:tc>
          <w:tcPr>
            <w:tcW w:w="472" w:type="dxa"/>
            <w:tcBorders/>
            <w:vAlign w:val="bottom"/>
          </w:tcPr>
          <w:p>
            <w:pPr>
              <w:pStyle w:val="Normal"/>
              <w:spacing w:lineRule="auto" w:line="360"/>
              <w:jc w:val="center"/>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日</w:t>
            </w:r>
          </w:p>
        </w:tc>
      </w:tr>
    </w:tbl>
    <w:p>
      <w:pPr>
        <w:pStyle w:val="Normal"/>
        <w:spacing w:lineRule="auto" w:line="360"/>
        <w:ind w:firstLineChars="273" w:startChars="0" w:start="0" w:endChars="0" w:end="0"/>
        <w:rPr>
          <w:rFonts w:hint="eastAsia"/>
          <w:b/>
          <w:bCs/>
          <w:szCs w:val="21"/>
        </w:rPr>
      </w:pPr>
      <w:r>
        <w:rPr>
          <w:rFonts w:hint="eastAsia"/>
          <w:b/>
          <w:bCs/>
          <w:szCs w:val="21"/>
        </w:rPr>
      </w:r>
    </w:p>
    <w:tbl>
      <w:tblPr>
        <w:tblW w:w="8819" w:type="dxa"/>
        <w:jc w:val="start"/>
        <w:tblInd w:w="468" w:type="dxa"/>
        <w:tblLayout w:type="fixed"/>
        <w:tblCellMar>
          <w:top w:w="0" w:type="dxa"/>
          <w:start w:w="108" w:type="dxa"/>
          <w:bottom w:w="0" w:type="dxa"/>
          <w:end w:w="108" w:type="dxa"/>
        </w:tblCellMar>
      </w:tblPr>
      <w:tblGrid>
        <w:gridCol w:w="709"/>
        <w:gridCol w:w="3036"/>
        <w:gridCol w:w="5074"/>
      </w:tblGrid>
      <w:tr>
        <w:trPr/>
        <w:tc>
          <w:tcPr>
            <w:tcW w:w="8819" w:type="dxa"/>
            <w:gridSpan w:val="3"/>
            <w:tcBorders>
              <w:bottom w:val="dashSmallGap" w:sz="8" w:space="0" w:color="000000"/>
            </w:tcBorders>
            <w:vAlign w:val="center"/>
          </w:tcPr>
          <w:p>
            <w:pPr>
              <w:pStyle w:val="Normal"/>
              <w:spacing w:lineRule="auto" w:line="360"/>
              <w:rPr>
                <w:rFonts w:hint="eastAsia"/>
                <w:b/>
                <w:bCs/>
                <w:szCs w:val="21"/>
              </w:rPr>
            </w:pPr>
            <w:r>
              <w:rPr>
                <w:rFonts w:hint="eastAsia"/>
                <w:b/>
                <w:bCs/>
                <w:szCs w:val="21"/>
              </w:rPr>
              <w:t>进度安排：</w:t>
            </w:r>
          </w:p>
        </w:tc>
      </w:tr>
      <w:tr>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序号</w:t>
            </w:r>
          </w:p>
        </w:tc>
        <w:tc>
          <w:tcPr>
            <w:tcW w:w="3036" w:type="dxa"/>
            <w:tcBorders>
              <w:top w:val="dashSmallGap" w:sz="8" w:space="0" w:color="000000"/>
              <w:start w:val="dashSmallGap" w:sz="8" w:space="0" w:color="000000"/>
              <w:bottom w:val="dashSmallGap" w:sz="8" w:space="0" w:color="000000"/>
              <w:end w:val="dashSmallGap" w:sz="8" w:space="0" w:color="000000"/>
            </w:tcBorders>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时间</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内容</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1</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2025.10.31-2025.11.5</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选好毕业设计题目并准备相关资料</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2</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2025.11.6-2025.11.10</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接受任务书</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3</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2025.11.11-2025.12.24</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搜集资料，准备开题报告</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4</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rPr/>
            </w:pPr>
            <w:r>
              <w:rPr/>
              <w:t>2025.12.25-2025.12.29</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开题报告会</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5</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ind w:firstLineChars="200" w:startChars="0" w:start="0" w:endChars="0" w:end="0"/>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2025.12.30-2026.1.15</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阅读论文，设计系统</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6</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2026.1.16-2026.3.10</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开发并测试系统</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7</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2026.3.11-2026.4.02</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撰写毕业论文</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8</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2026.4.03-2026.4.13</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论文审核及查重</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9</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Cs/>
                <w:szCs w:val="21"/>
              </w:rPr>
            </w:pPr>
            <w:r>
              <w:rPr>
                <w:rFonts w:cs="宋体;汉仪书宋二KW" w:hint="eastAsia" w:ascii="宋体;汉仪书宋二KW" w:hAnsi="宋体;汉仪书宋二KW"/>
                <w:bCs/>
                <w:szCs w:val="21"/>
              </w:rPr>
              <w:t>2026.4.14-2026.4.18</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论文自查、专家抽查论文</w:t>
            </w:r>
          </w:p>
        </w:tc>
      </w:tr>
      <w:tr>
        <w:trPr>
          <w:trHeight w:val="567" w:hRule="exact"/>
        </w:trPr>
        <w:tc>
          <w:tcPr>
            <w:tcW w:w="709"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rFonts w:ascii="宋体;汉仪书宋二KW" w:hAnsi="宋体;汉仪书宋二KW" w:cs="宋体;汉仪书宋二KW" w:hint="eastAsia"/>
                <w:b/>
                <w:bCs/>
              </w:rPr>
            </w:pPr>
            <w:r>
              <w:rPr>
                <w:rFonts w:cs="宋体;汉仪书宋二KW" w:hint="eastAsia" w:ascii="宋体;汉仪书宋二KW" w:hAnsi="宋体;汉仪书宋二KW"/>
                <w:b/>
                <w:bCs/>
              </w:rPr>
              <w:t>10</w:t>
            </w:r>
          </w:p>
        </w:tc>
        <w:tc>
          <w:tcPr>
            <w:tcW w:w="3036"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jc w:val="center"/>
              <w:rPr/>
            </w:pPr>
            <w:r>
              <w:rPr>
                <w:rFonts w:cs="宋体;汉仪书宋二KW" w:hint="eastAsia" w:ascii="宋体;汉仪书宋二KW" w:hAnsi="宋体;汉仪书宋二KW"/>
                <w:bCs/>
                <w:szCs w:val="21"/>
              </w:rPr>
              <w:t>2026.4.19</w:t>
            </w:r>
            <w:r>
              <w:rPr>
                <w:rFonts w:cs="宋体;汉仪书宋二KW" w:ascii="宋体;汉仪书宋二KW" w:hAnsi="宋体;汉仪书宋二KW"/>
                <w:bCs/>
                <w:szCs w:val="21"/>
              </w:rPr>
              <w:t>-</w:t>
            </w:r>
            <w:r>
              <w:rPr>
                <w:rFonts w:cs="宋体;汉仪书宋二KW" w:hint="eastAsia" w:ascii="宋体;汉仪书宋二KW" w:hAnsi="宋体;汉仪书宋二KW"/>
                <w:bCs/>
                <w:szCs w:val="21"/>
              </w:rPr>
              <w:t>2026.4.21</w:t>
            </w:r>
          </w:p>
        </w:tc>
        <w:tc>
          <w:tcPr>
            <w:tcW w:w="5074" w:type="dxa"/>
            <w:tcBorders>
              <w:top w:val="dashSmallGap" w:sz="8" w:space="0" w:color="000000"/>
              <w:start w:val="dashSmallGap" w:sz="8" w:space="0" w:color="000000"/>
              <w:bottom w:val="dashSmallGap" w:sz="8" w:space="0" w:color="000000"/>
              <w:end w:val="dashSmallGap" w:sz="8" w:space="0" w:color="000000"/>
            </w:tcBorders>
            <w:vAlign w:val="center"/>
          </w:tcPr>
          <w:p>
            <w:pPr>
              <w:pStyle w:val="Normal"/>
              <w:spacing w:lineRule="auto" w:line="360"/>
              <w:jc w:val="center"/>
              <w:rPr>
                <w:rFonts w:ascii="宋体;汉仪书宋二KW" w:hAnsi="宋体;汉仪书宋二KW" w:cs="宋体;汉仪书宋二KW" w:hint="eastAsia"/>
                <w:b/>
                <w:bCs/>
              </w:rPr>
            </w:pPr>
            <w:r>
              <w:rPr>
                <w:rFonts w:ascii="宋体;汉仪书宋二KW" w:hAnsi="宋体;汉仪书宋二KW" w:cs="宋体;汉仪书宋二KW" w:hint="eastAsia"/>
                <w:b/>
                <w:bCs/>
              </w:rPr>
              <w:t>答辩报告会</w:t>
            </w:r>
          </w:p>
        </w:tc>
      </w:tr>
    </w:tbl>
    <w:p>
      <w:pPr>
        <w:pStyle w:val="Normal"/>
        <w:rPr>
          <w:rFonts w:hint="eastAsia"/>
          <w:b/>
          <w:bCs/>
          <w:sz w:val="28"/>
        </w:rPr>
      </w:pPr>
      <w:r>
        <w:rPr>
          <w:rFonts w:hint="eastAsia"/>
          <w:b/>
          <w:bCs/>
          <w:sz w:val="28"/>
        </w:rPr>
      </w:r>
    </w:p>
    <w:tbl>
      <w:tblPr>
        <w:tblW w:w="6660" w:type="dxa"/>
        <w:jc w:val="end"/>
        <w:tblInd w:w="0" w:type="dxa"/>
        <w:tblLayout w:type="fixed"/>
        <w:tblCellMar>
          <w:top w:w="0" w:type="dxa"/>
          <w:start w:w="108" w:type="dxa"/>
          <w:bottom w:w="0" w:type="dxa"/>
          <w:end w:w="108" w:type="dxa"/>
        </w:tblCellMar>
      </w:tblPr>
      <w:tblGrid>
        <w:gridCol w:w="1080"/>
        <w:gridCol w:w="1440"/>
        <w:gridCol w:w="1081"/>
        <w:gridCol w:w="771"/>
        <w:gridCol w:w="457"/>
        <w:gridCol w:w="457"/>
        <w:gridCol w:w="458"/>
        <w:gridCol w:w="457"/>
        <w:gridCol w:w="459"/>
      </w:tblGrid>
      <w:tr>
        <w:trPr>
          <w:trHeight w:val="196" w:hRule="atLeast"/>
        </w:trPr>
        <w:tc>
          <w:tcPr>
            <w:tcW w:w="1080" w:type="dxa"/>
            <w:tcBorders/>
          </w:tcPr>
          <w:p>
            <w:pPr>
              <w:pStyle w:val="Normal"/>
              <w:rPr>
                <w:rFonts w:hint="eastAsia"/>
                <w:b/>
                <w:bCs/>
                <w:szCs w:val="21"/>
              </w:rPr>
            </w:pPr>
            <w:r>
              <w:rPr>
                <w:rFonts w:hint="eastAsia"/>
                <w:b/>
                <w:bCs/>
                <w:szCs w:val="21"/>
              </w:rPr>
              <w:t>指导教师</w:t>
            </w:r>
          </w:p>
        </w:tc>
        <w:tc>
          <w:tcPr>
            <w:tcW w:w="1440" w:type="dxa"/>
            <w:tcBorders>
              <w:bottom w:val="single" w:sz="4" w:space="0" w:color="000000"/>
            </w:tcBorders>
          </w:tcPr>
          <w:p>
            <w:pPr>
              <w:pStyle w:val="Normal"/>
              <w:snapToGrid w:val="false"/>
              <w:rPr>
                <w:rFonts w:ascii="宋体;汉仪书宋二KW" w:hAnsi="宋体;汉仪书宋二KW" w:cs="宋体;汉仪书宋二KW" w:hint="eastAsia"/>
                <w:b/>
                <w:bCs/>
                <w:szCs w:val="21"/>
              </w:rPr>
            </w:pPr>
            <w:r>
              <w:rPr>
                <w:rFonts w:cs="宋体;汉仪书宋二KW" w:hint="eastAsia" w:ascii="宋体;汉仪书宋二KW" w:hAnsi="宋体;汉仪书宋二KW"/>
                <w:b/>
                <w:bCs/>
                <w:szCs w:val="21"/>
              </w:rPr>
            </w:r>
          </w:p>
        </w:tc>
        <w:tc>
          <w:tcPr>
            <w:tcW w:w="1081" w:type="dxa"/>
            <w:tcBorders/>
          </w:tcPr>
          <w:p>
            <w:pPr>
              <w:pStyle w:val="Normal"/>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（签名）</w:t>
            </w:r>
          </w:p>
        </w:tc>
        <w:tc>
          <w:tcPr>
            <w:tcW w:w="771" w:type="dxa"/>
            <w:tcBorders>
              <w:bottom w:val="single" w:sz="4" w:space="0" w:color="000000"/>
            </w:tcBorders>
          </w:tcPr>
          <w:p>
            <w:pPr>
              <w:pStyle w:val="Normal"/>
              <w:rPr/>
            </w:pPr>
            <w:r>
              <w:rPr/>
              <w:t>2025</w:t>
            </w:r>
          </w:p>
        </w:tc>
        <w:tc>
          <w:tcPr>
            <w:tcW w:w="457" w:type="dxa"/>
            <w:tcBorders/>
          </w:tcPr>
          <w:p>
            <w:pPr>
              <w:pStyle w:val="Normal"/>
              <w:rPr>
                <w:rFonts w:hint="eastAsia"/>
                <w:b/>
                <w:bCs/>
                <w:szCs w:val="21"/>
              </w:rPr>
            </w:pPr>
            <w:r>
              <w:rPr>
                <w:rFonts w:hint="eastAsia"/>
                <w:b/>
                <w:bCs/>
                <w:szCs w:val="21"/>
              </w:rPr>
              <w:t>年</w:t>
            </w:r>
          </w:p>
        </w:tc>
        <w:tc>
          <w:tcPr>
            <w:tcW w:w="457" w:type="dxa"/>
            <w:tcBorders>
              <w:bottom w:val="single" w:sz="4" w:space="0" w:color="000000"/>
            </w:tcBorders>
          </w:tcPr>
          <w:p>
            <w:pPr>
              <w:pStyle w:val="Normal"/>
              <w:rPr/>
            </w:pPr>
            <w:r>
              <w:rPr/>
              <w:t>11</w:t>
            </w:r>
          </w:p>
        </w:tc>
        <w:tc>
          <w:tcPr>
            <w:tcW w:w="458" w:type="dxa"/>
            <w:tcBorders/>
          </w:tcPr>
          <w:p>
            <w:pPr>
              <w:pStyle w:val="Normal"/>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月</w:t>
            </w:r>
          </w:p>
        </w:tc>
        <w:tc>
          <w:tcPr>
            <w:tcW w:w="457" w:type="dxa"/>
            <w:tcBorders>
              <w:bottom w:val="single" w:sz="4" w:space="0" w:color="000000"/>
            </w:tcBorders>
          </w:tcPr>
          <w:p>
            <w:pPr>
              <w:pStyle w:val="Normal"/>
              <w:rPr/>
            </w:pPr>
            <w:r>
              <w:rPr/>
              <w:t>10</w:t>
            </w:r>
          </w:p>
        </w:tc>
        <w:tc>
          <w:tcPr>
            <w:tcW w:w="459" w:type="dxa"/>
            <w:tcBorders/>
          </w:tcPr>
          <w:p>
            <w:pPr>
              <w:pStyle w:val="Normal"/>
              <w:rPr>
                <w:rFonts w:hint="eastAsia"/>
                <w:b/>
                <w:bCs/>
                <w:szCs w:val="21"/>
              </w:rPr>
            </w:pPr>
            <w:r>
              <w:rPr>
                <w:rFonts w:hint="eastAsia"/>
                <w:b/>
                <w:bCs/>
                <w:szCs w:val="21"/>
              </w:rPr>
              <w:t>日</w:t>
            </w:r>
          </w:p>
        </w:tc>
      </w:tr>
    </w:tbl>
    <w:p>
      <w:pPr>
        <w:pStyle w:val="Normal"/>
        <w:rPr>
          <w:rFonts w:hint="eastAsia"/>
          <w:b/>
          <w:bCs/>
          <w:sz w:val="28"/>
        </w:rPr>
      </w:pPr>
      <w:r>
        <w:rPr>
          <w:rFonts w:hint="eastAsia"/>
          <w:b/>
          <w:bCs/>
          <w:sz w:val="28"/>
        </w:rPr>
        <w:t>四、研究所审查意见：</w:t>
      </w:r>
    </w:p>
    <w:p>
      <w:pPr>
        <w:pStyle w:val="Normal"/>
        <w:rPr>
          <w:rFonts w:hint="eastAsia"/>
          <w:b/>
          <w:bCs/>
          <w:sz w:val="28"/>
        </w:rPr>
      </w:pPr>
      <w:r>
        <w:rPr>
          <w:rFonts w:hint="eastAsia"/>
          <w:b/>
          <w:bCs/>
          <w:sz w:val="28"/>
        </w:rPr>
      </w:r>
    </w:p>
    <w:tbl>
      <w:tblPr>
        <w:tblW w:w="5103" w:type="dxa"/>
        <w:jc w:val="start"/>
        <w:tblInd w:w="675" w:type="dxa"/>
        <w:tblLayout w:type="fixed"/>
        <w:tblCellMar>
          <w:top w:w="0" w:type="dxa"/>
          <w:start w:w="108" w:type="dxa"/>
          <w:bottom w:w="0" w:type="dxa"/>
          <w:end w:w="108" w:type="dxa"/>
        </w:tblCellMar>
      </w:tblPr>
      <w:tblGrid>
        <w:gridCol w:w="3968"/>
        <w:gridCol w:w="1135"/>
      </w:tblGrid>
      <w:tr>
        <w:trPr/>
        <w:tc>
          <w:tcPr>
            <w:tcW w:w="3968" w:type="dxa"/>
            <w:tcBorders>
              <w:top w:val="single" w:sz="4" w:space="0" w:color="000000"/>
              <w:start w:val="single" w:sz="4" w:space="0" w:color="000000"/>
              <w:bottom w:val="single" w:sz="4" w:space="0" w:color="000000"/>
              <w:end w:val="single" w:sz="4" w:space="0" w:color="000000"/>
            </w:tcBorders>
          </w:tcPr>
          <w:p>
            <w:pPr>
              <w:pStyle w:val="Normal"/>
              <w:rPr>
                <w:rFonts w:hint="eastAsia"/>
                <w:b/>
                <w:bCs/>
                <w:sz w:val="28"/>
              </w:rPr>
            </w:pPr>
            <w:r>
              <w:rPr>
                <w:rFonts w:hint="eastAsia"/>
                <w:b/>
                <w:bCs/>
                <w:sz w:val="28"/>
              </w:rPr>
              <w:t>任务指标是否明确</w:t>
            </w:r>
          </w:p>
        </w:tc>
        <w:tc>
          <w:tcPr>
            <w:tcW w:w="1135"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
                <w:bCs/>
                <w:sz w:val="28"/>
              </w:rPr>
            </w:pPr>
            <w:r>
              <w:rPr>
                <w:rFonts w:hint="eastAsia"/>
                <w:b/>
                <w:bCs/>
                <w:sz w:val="28"/>
              </w:rPr>
            </w:r>
          </w:p>
        </w:tc>
      </w:tr>
      <w:tr>
        <w:trPr/>
        <w:tc>
          <w:tcPr>
            <w:tcW w:w="3968" w:type="dxa"/>
            <w:tcBorders>
              <w:top w:val="single" w:sz="4" w:space="0" w:color="000000"/>
              <w:start w:val="single" w:sz="4" w:space="0" w:color="000000"/>
              <w:bottom w:val="single" w:sz="4" w:space="0" w:color="000000"/>
              <w:end w:val="single" w:sz="4" w:space="0" w:color="000000"/>
            </w:tcBorders>
          </w:tcPr>
          <w:p>
            <w:pPr>
              <w:pStyle w:val="Normal"/>
              <w:rPr>
                <w:rFonts w:hint="eastAsia"/>
                <w:b/>
                <w:bCs/>
                <w:sz w:val="28"/>
              </w:rPr>
            </w:pPr>
            <w:r>
              <w:rPr>
                <w:rFonts w:hint="eastAsia"/>
                <w:b/>
                <w:bCs/>
                <w:sz w:val="28"/>
              </w:rPr>
              <w:t>任务内容是否合适</w:t>
            </w:r>
          </w:p>
        </w:tc>
        <w:tc>
          <w:tcPr>
            <w:tcW w:w="1135"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
                <w:bCs/>
                <w:sz w:val="28"/>
              </w:rPr>
            </w:pPr>
            <w:r>
              <w:rPr>
                <w:rFonts w:hint="eastAsia"/>
                <w:b/>
                <w:bCs/>
                <w:sz w:val="28"/>
              </w:rPr>
            </w:r>
          </w:p>
        </w:tc>
      </w:tr>
      <w:tr>
        <w:trPr/>
        <w:tc>
          <w:tcPr>
            <w:tcW w:w="3968" w:type="dxa"/>
            <w:tcBorders>
              <w:top w:val="single" w:sz="4" w:space="0" w:color="000000"/>
              <w:start w:val="single" w:sz="4" w:space="0" w:color="000000"/>
              <w:bottom w:val="single" w:sz="4" w:space="0" w:color="000000"/>
              <w:end w:val="single" w:sz="4" w:space="0" w:color="000000"/>
            </w:tcBorders>
          </w:tcPr>
          <w:p>
            <w:pPr>
              <w:pStyle w:val="Normal"/>
              <w:rPr>
                <w:rFonts w:hint="eastAsia"/>
                <w:b/>
                <w:bCs/>
                <w:sz w:val="28"/>
              </w:rPr>
            </w:pPr>
            <w:r>
              <w:rPr>
                <w:rFonts w:hint="eastAsia"/>
                <w:b/>
                <w:bCs/>
                <w:sz w:val="28"/>
              </w:rPr>
              <w:t>进度安排是否合理</w:t>
            </w:r>
          </w:p>
        </w:tc>
        <w:tc>
          <w:tcPr>
            <w:tcW w:w="1135" w:type="dxa"/>
            <w:tcBorders>
              <w:top w:val="single" w:sz="4" w:space="0" w:color="000000"/>
              <w:start w:val="single" w:sz="4" w:space="0" w:color="000000"/>
              <w:bottom w:val="single" w:sz="4" w:space="0" w:color="000000"/>
              <w:end w:val="single" w:sz="4" w:space="0" w:color="000000"/>
            </w:tcBorders>
          </w:tcPr>
          <w:p>
            <w:pPr>
              <w:pStyle w:val="Normal"/>
              <w:snapToGrid w:val="false"/>
              <w:rPr>
                <w:rFonts w:hint="eastAsia"/>
                <w:b/>
                <w:bCs/>
                <w:sz w:val="28"/>
              </w:rPr>
            </w:pPr>
            <w:r>
              <w:rPr>
                <w:rFonts w:hint="eastAsia"/>
                <w:b/>
                <w:bCs/>
                <w:sz w:val="28"/>
              </w:rPr>
            </w:r>
          </w:p>
        </w:tc>
      </w:tr>
    </w:tbl>
    <w:p>
      <w:pPr>
        <w:pStyle w:val="Normal"/>
        <w:rPr>
          <w:rFonts w:hint="eastAsia"/>
          <w:b/>
          <w:bCs/>
          <w:sz w:val="28"/>
        </w:rPr>
      </w:pPr>
      <w:r>
        <w:rPr>
          <w:rFonts w:hint="eastAsia"/>
          <w:b/>
          <w:bCs/>
          <w:sz w:val="28"/>
        </w:rPr>
      </w:r>
    </w:p>
    <w:p>
      <w:pPr>
        <w:pStyle w:val="Normal"/>
        <w:rPr>
          <w:rFonts w:hint="eastAsia"/>
          <w:b/>
          <w:bCs/>
          <w:sz w:val="24"/>
        </w:rPr>
      </w:pPr>
      <w:r>
        <w:rPr>
          <w:rFonts w:hint="eastAsia"/>
          <w:b/>
          <w:bCs/>
          <w:sz w:val="24"/>
        </w:rPr>
      </w:r>
    </w:p>
    <w:tbl>
      <w:tblPr>
        <w:tblW w:w="7761" w:type="dxa"/>
        <w:jc w:val="end"/>
        <w:tblInd w:w="0" w:type="dxa"/>
        <w:tblLayout w:type="fixed"/>
        <w:tblCellMar>
          <w:top w:w="0" w:type="dxa"/>
          <w:start w:w="108" w:type="dxa"/>
          <w:bottom w:w="0" w:type="dxa"/>
          <w:end w:w="108" w:type="dxa"/>
        </w:tblCellMar>
      </w:tblPr>
      <w:tblGrid>
        <w:gridCol w:w="2361"/>
        <w:gridCol w:w="1441"/>
        <w:gridCol w:w="971"/>
        <w:gridCol w:w="700"/>
        <w:gridCol w:w="457"/>
        <w:gridCol w:w="458"/>
        <w:gridCol w:w="457"/>
        <w:gridCol w:w="458"/>
        <w:gridCol w:w="458"/>
      </w:tblGrid>
      <w:tr>
        <w:trPr>
          <w:trHeight w:val="196" w:hRule="atLeast"/>
        </w:trPr>
        <w:tc>
          <w:tcPr>
            <w:tcW w:w="2361" w:type="dxa"/>
            <w:tcBorders/>
          </w:tcPr>
          <w:p>
            <w:pPr>
              <w:pStyle w:val="Normal"/>
              <w:rPr>
                <w:rFonts w:hint="eastAsia"/>
                <w:b/>
                <w:bCs/>
                <w:szCs w:val="21"/>
              </w:rPr>
            </w:pPr>
            <w:r>
              <w:rPr>
                <w:rFonts w:hint="eastAsia"/>
                <w:b/>
                <w:bCs/>
                <w:szCs w:val="21"/>
              </w:rPr>
              <w:t>研究所（专业）负责人</w:t>
            </w:r>
          </w:p>
        </w:tc>
        <w:tc>
          <w:tcPr>
            <w:tcW w:w="1441" w:type="dxa"/>
            <w:tcBorders>
              <w:bottom w:val="single" w:sz="4" w:space="0" w:color="000000"/>
            </w:tcBorders>
          </w:tcPr>
          <w:p>
            <w:pPr>
              <w:pStyle w:val="Normal"/>
              <w:snapToGrid w:val="false"/>
              <w:rPr/>
            </w:pPr>
            <w:r>
              <w:rPr/>
            </w:r>
          </w:p>
        </w:tc>
        <w:tc>
          <w:tcPr>
            <w:tcW w:w="971" w:type="dxa"/>
            <w:tcBorders/>
          </w:tcPr>
          <w:p>
            <w:pPr>
              <w:pStyle w:val="Normal"/>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（签名）</w:t>
            </w:r>
          </w:p>
        </w:tc>
        <w:tc>
          <w:tcPr>
            <w:tcW w:w="700" w:type="dxa"/>
            <w:tcBorders>
              <w:bottom w:val="single" w:sz="4" w:space="0" w:color="000000"/>
            </w:tcBorders>
          </w:tcPr>
          <w:p>
            <w:pPr>
              <w:pStyle w:val="Normal"/>
              <w:rPr/>
            </w:pPr>
            <w:r>
              <w:rPr/>
              <w:t>2025</w:t>
            </w:r>
          </w:p>
        </w:tc>
        <w:tc>
          <w:tcPr>
            <w:tcW w:w="457" w:type="dxa"/>
            <w:tcBorders/>
          </w:tcPr>
          <w:p>
            <w:pPr>
              <w:pStyle w:val="Normal"/>
              <w:rPr>
                <w:rFonts w:hint="eastAsia"/>
                <w:b/>
                <w:bCs/>
                <w:szCs w:val="21"/>
              </w:rPr>
            </w:pPr>
            <w:r>
              <w:rPr>
                <w:rFonts w:hint="eastAsia"/>
                <w:b/>
                <w:bCs/>
                <w:szCs w:val="21"/>
              </w:rPr>
              <w:t>年</w:t>
            </w:r>
          </w:p>
        </w:tc>
        <w:tc>
          <w:tcPr>
            <w:tcW w:w="458" w:type="dxa"/>
            <w:tcBorders>
              <w:bottom w:val="single" w:sz="4" w:space="0" w:color="000000"/>
            </w:tcBorders>
          </w:tcPr>
          <w:p>
            <w:pPr>
              <w:pStyle w:val="Normal"/>
              <w:rPr/>
            </w:pPr>
            <w:r>
              <w:rPr/>
              <w:t>11</w:t>
            </w:r>
          </w:p>
        </w:tc>
        <w:tc>
          <w:tcPr>
            <w:tcW w:w="457" w:type="dxa"/>
            <w:tcBorders/>
          </w:tcPr>
          <w:p>
            <w:pPr>
              <w:pStyle w:val="Normal"/>
              <w:rPr>
                <w:rFonts w:ascii="宋体;汉仪书宋二KW" w:hAnsi="宋体;汉仪书宋二KW" w:cs="宋体;汉仪书宋二KW" w:hint="eastAsia"/>
                <w:b/>
                <w:bCs/>
                <w:szCs w:val="21"/>
              </w:rPr>
            </w:pPr>
            <w:r>
              <w:rPr>
                <w:rFonts w:ascii="宋体;汉仪书宋二KW" w:hAnsi="宋体;汉仪书宋二KW" w:cs="宋体;汉仪书宋二KW" w:hint="eastAsia"/>
                <w:b/>
                <w:bCs/>
                <w:szCs w:val="21"/>
              </w:rPr>
              <w:t>月</w:t>
            </w:r>
          </w:p>
        </w:tc>
        <w:tc>
          <w:tcPr>
            <w:tcW w:w="458" w:type="dxa"/>
            <w:tcBorders>
              <w:bottom w:val="single" w:sz="4" w:space="0" w:color="000000"/>
            </w:tcBorders>
          </w:tcPr>
          <w:p>
            <w:pPr>
              <w:pStyle w:val="Normal"/>
              <w:rPr/>
            </w:pPr>
            <w:r>
              <w:rPr/>
              <w:t>12</w:t>
            </w:r>
          </w:p>
        </w:tc>
        <w:tc>
          <w:tcPr>
            <w:tcW w:w="458" w:type="dxa"/>
            <w:tcBorders/>
          </w:tcPr>
          <w:p>
            <w:pPr>
              <w:pStyle w:val="Normal"/>
              <w:rPr>
                <w:rFonts w:hint="eastAsia"/>
                <w:b/>
                <w:bCs/>
                <w:szCs w:val="21"/>
              </w:rPr>
            </w:pPr>
            <w:r>
              <w:rPr>
                <w:rFonts w:hint="eastAsia"/>
                <w:b/>
                <w:bCs/>
                <w:szCs w:val="21"/>
              </w:rPr>
              <w:t>日</w:t>
            </w:r>
          </w:p>
        </w:tc>
      </w:tr>
    </w:tbl>
    <w:p>
      <w:pPr>
        <w:pStyle w:val="Normal"/>
        <w:rPr>
          <w:rFonts w:hint="eastAsia"/>
        </w:rPr>
      </w:pPr>
      <w:r>
        <w:rPr>
          <w:rFonts w:hint="eastAsia"/>
        </w:rPr>
      </w:r>
    </w:p>
    <w:sectPr>
      <w:type w:val="nextPage"/>
      <w:pgSz w:w="11906" w:h="16838"/>
      <w:pgMar w:left="1701" w:right="1134" w:gutter="0" w:header="0" w:top="1134" w:footer="0"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variable"/>
  </w:font>
  <w:font w:name="Liberation Sans">
    <w:altName w:val="Arial"/>
    <w:charset w:val="01"/>
    <w:family w:val="swiss"/>
    <w:pitch w:val="variable"/>
  </w:font>
  <w:font w:name="宋体">
    <w:altName w:val="汉仪书宋二KW"/>
    <w:charset w:val="01"/>
    <w:family w:val="roman"/>
    <w:pitch w:val="variable"/>
  </w:font>
</w:fonts>
</file>

<file path=word/settings.xml><?xml version="1.0" encoding="utf-8"?>
<w:settings xmlns:w="http://schemas.openxmlformats.org/wordprocessingml/2006/main">
  <w:zoom w:percent="144"/>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both"/>
    </w:pPr>
    <w:rPr>
      <w:rFonts w:ascii="Times New Roman" w:hAnsi="Times New Roman" w:eastAsia="宋体;汉仪书宋二KW" w:cs="Times New Roman"/>
      <w:color w:val="auto"/>
      <w:kern w:val="2"/>
      <w:sz w:val="21"/>
      <w:szCs w:val="24"/>
      <w:lang w:bidi="ar-SA" w:val="en-US" w:eastAsia="zh-CN"/>
    </w:rPr>
  </w:style>
  <w:style w:type="character" w:styleId="WW8Num2z0">
    <w:name w:val="WW8Num2z0"/>
    <w:qFormat/>
    <w:rPr/>
  </w:style>
  <w:style w:type="character" w:styleId="Style14">
    <w:name w:val="默认段落字体"/>
    <w:qFormat/>
    <w:rPr/>
  </w:style>
  <w:style w:type="character" w:styleId="Style15">
    <w:name w:val="页脚 字符"/>
    <w:qFormat/>
    <w:rPr>
      <w:kern w:val="2"/>
      <w:sz w:val="18"/>
      <w:szCs w:val="18"/>
    </w:rPr>
  </w:style>
  <w:style w:type="character" w:styleId="Style16">
    <w:name w:val="页眉 字符"/>
    <w:qFormat/>
    <w:rPr>
      <w:kern w:val="2"/>
      <w:sz w:val="18"/>
      <w:szCs w:val="18"/>
    </w:rPr>
  </w:style>
  <w:style w:type="character" w:styleId="Strong">
    <w:name w:val="Strong"/>
    <w:qFormat/>
    <w:rPr>
      <w:b/>
    </w:rPr>
  </w:style>
  <w:style w:type="paragraph" w:styleId="Heading">
    <w:name w:val="Heading"/>
    <w:basedOn w:val="Normal"/>
    <w:next w:val="BodyText"/>
    <w:qFormat/>
    <w:pPr>
      <w:keepNext w:val="true"/>
      <w:spacing w:before="240" w:after="120"/>
    </w:pPr>
    <w:rPr>
      <w:rFonts w:ascii="Liberation Sans;Arial" w:hAnsi="Liberation Sans;Arial"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aption1">
    <w:name w:val="caption1"/>
    <w:basedOn w:val="Normal"/>
    <w:qFormat/>
    <w:pPr>
      <w:suppressLineNumbers/>
      <w:spacing w:before="120" w:after="120"/>
    </w:pPr>
    <w:rPr>
      <w:rFonts w:cs="Arial Unicode MS"/>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spacing w:before="100" w:after="100"/>
      <w:ind w:hanging="0" w:start="0" w:end="0"/>
      <w:jc w:val="start"/>
    </w:pPr>
    <w:rPr>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9120</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2005-01-14T22:35:00Z</dcterms:created>
  <dc:creator>CY</dc:creator>
  <dc:description/>
  <dc:language>zh-CN</dc:language>
  <cp:lastModifiedBy>无妄</cp:lastModifiedBy>
  <cp:lastPrinted>2012-09-03T10:04:00Z</cp:lastPrinted>
  <dcterms:modified xsi:type="dcterms:W3CDTF">2025-11-04T05:18:32Z</dcterms:modified>
  <cp:revision>37</cp:revision>
  <dc:subject/>
  <dc:title>杭 州 电 子 工 业 学 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F0CF7E6DC04A4797BF6568B5625DFDCE_13</vt:lpwstr>
  </property>
  <property fmtid="{D5CDD505-2E9C-101B-9397-08002B2CF9AE}" pid="3" name="KSOProductBuildVer">
    <vt:lpwstr>2052-12.1.23141.23141</vt:lpwstr>
  </property>
</Properties>
</file>