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3198E9">
      <w:pPr>
        <w:jc w:val="center"/>
        <w:rPr>
          <w:rFonts w:hint="default" w:ascii="黑体" w:hAnsi="黑体" w:eastAsia="黑体" w:cs="黑体"/>
          <w:b/>
          <w:bCs/>
          <w:sz w:val="28"/>
          <w:szCs w:val="28"/>
          <w:lang w:val="en-US" w:eastAsia="zh-CN"/>
        </w:rPr>
      </w:pPr>
      <w:r>
        <w:rPr>
          <w:rFonts w:hint="eastAsia" w:ascii="黑体" w:hAnsi="黑体" w:eastAsia="黑体" w:cs="黑体"/>
          <w:b/>
          <w:bCs/>
          <w:sz w:val="28"/>
          <w:szCs w:val="28"/>
          <w:u w:val="single"/>
          <w:lang w:val="en-US" w:eastAsia="zh-CN"/>
        </w:rPr>
        <w:t>多智能体强化学习赋能空间无人系统：方法、挑战与机遇</w:t>
      </w:r>
      <w:r>
        <w:rPr>
          <w:rFonts w:hint="eastAsia" w:ascii="黑体" w:hAnsi="黑体" w:eastAsia="黑体" w:cs="黑体"/>
          <w:b/>
          <w:bCs/>
          <w:sz w:val="28"/>
          <w:szCs w:val="28"/>
          <w:lang w:val="en-US" w:eastAsia="zh-CN"/>
        </w:rPr>
        <w:t>阅读报告</w:t>
      </w:r>
    </w:p>
    <w:p w14:paraId="0A8F4F60">
      <w:pPr>
        <w:jc w:val="center"/>
        <w:rPr>
          <w:rFonts w:hint="eastAsia" w:ascii="微软雅黑" w:hAnsi="微软雅黑" w:eastAsia="微软雅黑" w:cs="微软雅黑"/>
          <w:b w:val="0"/>
          <w:bCs w:val="0"/>
          <w:i w:val="0"/>
          <w:iCs w:val="0"/>
          <w:caps w:val="0"/>
          <w:color w:val="666666"/>
          <w:spacing w:val="0"/>
          <w:sz w:val="13"/>
          <w:szCs w:val="13"/>
          <w:shd w:val="clear" w:fill="FFFFFF"/>
          <w:lang w:val="en-US" w:eastAsia="zh-CN"/>
        </w:rPr>
      </w:pPr>
      <w:r>
        <w:rPr>
          <w:rFonts w:hint="eastAsia" w:ascii="微软雅黑" w:hAnsi="微软雅黑" w:eastAsia="微软雅黑" w:cs="微软雅黑"/>
          <w:b w:val="0"/>
          <w:bCs w:val="0"/>
          <w:i w:val="0"/>
          <w:iCs w:val="0"/>
          <w:caps w:val="0"/>
          <w:color w:val="666666"/>
          <w:spacing w:val="0"/>
          <w:sz w:val="13"/>
          <w:szCs w:val="13"/>
          <w:shd w:val="clear" w:fill="FFFFFF"/>
          <w:lang w:eastAsia="zh-CN"/>
        </w:rPr>
        <w:t>（</w:t>
      </w:r>
      <w:r>
        <w:rPr>
          <w:rFonts w:ascii="微软雅黑" w:hAnsi="微软雅黑" w:eastAsia="微软雅黑" w:cs="微软雅黑"/>
          <w:b w:val="0"/>
          <w:bCs w:val="0"/>
          <w:i w:val="0"/>
          <w:iCs w:val="0"/>
          <w:caps w:val="0"/>
          <w:color w:val="666666"/>
          <w:spacing w:val="0"/>
          <w:sz w:val="13"/>
          <w:szCs w:val="13"/>
          <w:shd w:val="clear" w:fill="FFFFFF"/>
        </w:rPr>
        <w:t>李勐,冯肇晗,梅云鹏,等.多智能体强化学习赋能空间无人系统：方法、挑战与机遇[J].空间控制技术与应用,2025,51(4):17-28.</w:t>
      </w:r>
      <w:r>
        <w:rPr>
          <w:rFonts w:hint="eastAsia" w:ascii="微软雅黑" w:hAnsi="微软雅黑" w:eastAsia="微软雅黑" w:cs="微软雅黑"/>
          <w:b w:val="0"/>
          <w:bCs w:val="0"/>
          <w:i w:val="0"/>
          <w:iCs w:val="0"/>
          <w:caps w:val="0"/>
          <w:color w:val="666666"/>
          <w:spacing w:val="0"/>
          <w:sz w:val="13"/>
          <w:szCs w:val="13"/>
          <w:shd w:val="clear" w:fill="FFFFFF"/>
          <w:lang w:eastAsia="zh-CN"/>
        </w:rPr>
        <w:t>）</w:t>
      </w:r>
    </w:p>
    <w:p w14:paraId="66AAF27C">
      <w:pPr>
        <w:jc w:val="both"/>
        <w:rPr>
          <w:rFonts w:hint="eastAsia" w:ascii="黑体" w:hAnsi="黑体" w:eastAsia="黑体" w:cs="黑体"/>
          <w:b/>
          <w:bCs/>
          <w:sz w:val="21"/>
          <w:szCs w:val="21"/>
          <w:lang w:val="en-US" w:eastAsia="zh-CN"/>
        </w:rPr>
      </w:pPr>
      <w:r>
        <w:rPr>
          <w:rFonts w:hint="eastAsia" w:ascii="黑体" w:hAnsi="黑体" w:eastAsia="黑体" w:cs="黑体"/>
          <w:b/>
          <w:bCs/>
          <w:color w:val="7030A0"/>
          <w:sz w:val="21"/>
          <w:szCs w:val="21"/>
          <w:lang w:val="en-US" w:eastAsia="zh-CN"/>
        </w:rPr>
        <w:t>文献信息</w:t>
      </w:r>
      <w:r>
        <w:rPr>
          <w:rFonts w:hint="eastAsia" w:ascii="黑体" w:hAnsi="黑体" w:eastAsia="黑体" w:cs="黑体"/>
          <w:b/>
          <w:bCs/>
          <w:sz w:val="21"/>
          <w:szCs w:val="21"/>
          <w:lang w:val="en-US" w:eastAsia="zh-CN"/>
        </w:rPr>
        <w:t>：</w:t>
      </w:r>
    </w:p>
    <w:p w14:paraId="74DC2415">
      <w:pPr>
        <w:jc w:val="both"/>
        <w:rPr>
          <w:rFonts w:hint="eastAsia" w:ascii="黑体" w:hAnsi="黑体" w:eastAsia="黑体" w:cs="黑体"/>
          <w:b w:val="0"/>
          <w:bCs w:val="0"/>
          <w:sz w:val="15"/>
          <w:szCs w:val="15"/>
          <w:lang w:val="en-US" w:eastAsia="zh-CN"/>
        </w:rPr>
      </w:pPr>
      <w:r>
        <w:rPr>
          <w:rFonts w:hint="eastAsia" w:ascii="黑体" w:hAnsi="黑体" w:eastAsia="黑体" w:cs="黑体"/>
          <w:b/>
          <w:bCs/>
          <w:sz w:val="18"/>
          <w:szCs w:val="18"/>
          <w:lang w:val="en-US" w:eastAsia="zh-CN"/>
        </w:rPr>
        <w:t>摘要</w:t>
      </w:r>
      <w:r>
        <w:rPr>
          <w:rFonts w:hint="eastAsia" w:ascii="黑体" w:hAnsi="黑体" w:eastAsia="黑体" w:cs="黑体"/>
          <w:b w:val="0"/>
          <w:bCs w:val="0"/>
          <w:sz w:val="15"/>
          <w:szCs w:val="15"/>
          <w:lang w:val="en-US" w:eastAsia="zh-CN"/>
        </w:rPr>
        <w:t>：随着航天技术向智能化、集群化发展，空间无人系统在深空探测、对地观测等战略领域展现出巨大潜力，但传统集中式控制范式在应对高动态环境、分布式任务和严格资源约束时面临严峻挑战.多智能体强化学习以其分布式决策架构和协同演化机制，为构建自主、弹性的空间智能系统提供了突破性解决方案.本文系统探讨了多智能体强化学习在空间无人系统中的技术赋能路径、方法体系、工程挑战与发展机遇；剖析了卫星集群协同通信和多航天器控制等核心场景的技术瓶颈；总结了空间无人系统在上述核心场景中的研究与应用现状；展望了多智能体强化学习作为新兴智能技术，在动态频谱分配、星载边缘计算和抗扰协同控制等关键方向的应用前景，推动空间系统向“自主决策-弹性抗扰-高效协同”的新范式演进.本文旨在为构建新一代空间智能无人集群提供现有技术梳理与前景展望.</w:t>
      </w:r>
    </w:p>
    <w:p w14:paraId="6FF6DBEF">
      <w:pPr>
        <w:jc w:val="both"/>
        <w:rPr>
          <w:rFonts w:hint="eastAsia" w:ascii="黑体" w:hAnsi="黑体" w:eastAsia="黑体" w:cs="黑体"/>
          <w:b w:val="0"/>
          <w:bCs w:val="0"/>
          <w:sz w:val="15"/>
          <w:szCs w:val="15"/>
          <w:lang w:val="en-US" w:eastAsia="zh-CN"/>
        </w:rPr>
      </w:pPr>
      <w:r>
        <w:rPr>
          <w:rFonts w:hint="eastAsia" w:ascii="黑体" w:hAnsi="黑体" w:eastAsia="黑体" w:cs="黑体"/>
          <w:b/>
          <w:bCs/>
          <w:sz w:val="18"/>
          <w:szCs w:val="18"/>
          <w:lang w:val="en-US" w:eastAsia="zh-CN"/>
        </w:rPr>
        <w:t>关键词：</w:t>
      </w: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"https://kns.cnki.net/kcms2/keyword/detail?v=Ef7Li4TQaLwZKyqRSaFqYVrsFhZCyIkT2RXqBgQs3V_LCBx6zeBGjyLqPv3l1UKi7k8qqLLlLYLzVk9eiK6FhIsich9-DEkxIXpMsX_bsAsf--mfdoAPoPalZ-83BxJWIb2LYoUztnkMCjJdDJnD857CTCuDstQ_kB97E3mlfCw=&amp;uniplatform=NZKPT&amp;language=CHS"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多智能体强化学习;</w:t>
      </w:r>
      <w:r>
        <w:rPr>
          <w:rFonts w:hint="eastAsia" w:ascii="黑体" w:hAnsi="黑体" w:eastAsia="黑体" w:cs="黑体"/>
          <w:b w:val="0"/>
          <w:bCs w:val="0"/>
          <w:sz w:val="15"/>
          <w:szCs w:val="15"/>
          <w:lang w:val="en-US" w:eastAsia="zh-CN"/>
        </w:rPr>
        <w:fldChar w:fldCharType="end"/>
      </w: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"https://kns.cnki.net/kcms2/keyword/detail?v=Ef7Li4TQaLwZKyqRSaFqYVrsFhZCyIkTWraKdbw_Qk7p6DtC6JerSwHCN0AdW4X2Im9gv2A7nCwU2_5FhoHGP5SfabokUN38uUUT_xscR5TJGGWrjpRnGruM-SU9cUD7Ah_FTxdLRag=&amp;uniplatform=NZKPT&amp;language=CHS"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空间无人系统;</w:t>
      </w:r>
      <w:r>
        <w:rPr>
          <w:rFonts w:hint="eastAsia" w:ascii="黑体" w:hAnsi="黑体" w:eastAsia="黑体" w:cs="黑体"/>
          <w:b w:val="0"/>
          <w:bCs w:val="0"/>
          <w:sz w:val="15"/>
          <w:szCs w:val="15"/>
          <w:lang w:val="en-US" w:eastAsia="zh-CN"/>
        </w:rPr>
        <w:fldChar w:fldCharType="end"/>
      </w: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"https://kns.cnki.net/kcms2/keyword/detail?v=Ef7Li4TQaLwZKyqRSaFqYVrsFhZCyIkTU2h8Ziij6yQ6lNcGBxTyr38XC1zPyorgUKVmhIkKTismcPMDIy2VGY3Eox2YEHmTIS9Bu7koFwBmcP8TUcsGTw==&amp;uniplatform=NZKPT&amp;language=CHS"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协同控制;</w:t>
      </w:r>
      <w:r>
        <w:rPr>
          <w:rFonts w:hint="eastAsia" w:ascii="黑体" w:hAnsi="黑体" w:eastAsia="黑体" w:cs="黑体"/>
          <w:b w:val="0"/>
          <w:bCs w:val="0"/>
          <w:sz w:val="15"/>
          <w:szCs w:val="15"/>
          <w:lang w:val="en-US" w:eastAsia="zh-CN"/>
        </w:rPr>
        <w:fldChar w:fldCharType="end"/>
      </w: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"https://kns.cnki.net/kcms2/keyword/detail?v=Ef7Li4TQaLwZKyqRSaFqYVrsFhZCyIkT4pixBQsq6g42_ST2gk4jCwUfLabFpPw9a_UeWl7kj0k58u-iyJpo3dwNvCsZdhPU8wxWNgDoTINY4x0gDaM4_w==&amp;uniplatform=NZKPT&amp;language=CHS"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边缘计算;</w:t>
      </w:r>
      <w:r>
        <w:rPr>
          <w:rFonts w:hint="eastAsia" w:ascii="黑体" w:hAnsi="黑体" w:eastAsia="黑体" w:cs="黑体"/>
          <w:b w:val="0"/>
          <w:bCs w:val="0"/>
          <w:sz w:val="15"/>
          <w:szCs w:val="15"/>
          <w:lang w:val="en-US" w:eastAsia="zh-CN"/>
        </w:rPr>
        <w:fldChar w:fldCharType="end"/>
      </w: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"https://kns.cnki.net/kcms2/keyword/detail?v=Ef7Li4TQaLwZKyqRSaFqYVrsFhZCyIkTv1yom2J9KzVjMKylLiWAoRpR5XHgMpxNwCPc3LO6d0lRDeHLa7Qpte3jf4eoQhJJe3T8c0KQYFandwragpb2XQ==&amp;uniplatform=NZKPT&amp;language=CHS"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自主决策;</w:t>
      </w:r>
      <w:r>
        <w:rPr>
          <w:rFonts w:hint="eastAsia" w:ascii="黑体" w:hAnsi="黑体" w:eastAsia="黑体" w:cs="黑体"/>
          <w:b w:val="0"/>
          <w:bCs w:val="0"/>
          <w:sz w:val="15"/>
          <w:szCs w:val="15"/>
          <w:lang w:val="en-US" w:eastAsia="zh-CN"/>
        </w:rPr>
        <w:fldChar w:fldCharType="end"/>
      </w:r>
    </w:p>
    <w:p w14:paraId="7526AC82">
      <w:pPr>
        <w:jc w:val="both"/>
        <w:rPr>
          <w:rFonts w:hint="eastAsia" w:ascii="黑体" w:hAnsi="黑体" w:eastAsia="黑体" w:cs="黑体"/>
          <w:b w:val="0"/>
          <w:bCs w:val="0"/>
          <w:sz w:val="15"/>
          <w:szCs w:val="15"/>
          <w:lang w:val="en-US" w:eastAsia="zh-CN"/>
        </w:rPr>
      </w:pPr>
    </w:p>
    <w:p w14:paraId="300B545F">
      <w:pPr>
        <w:jc w:val="both"/>
        <w:rPr>
          <w:rFonts w:hint="eastAsia" w:ascii="黑体" w:hAnsi="黑体" w:eastAsia="黑体" w:cs="黑体"/>
          <w:b/>
          <w:bCs/>
          <w:color w:val="7030A0"/>
          <w:sz w:val="21"/>
          <w:szCs w:val="21"/>
          <w:lang w:val="en-US" w:eastAsia="zh-CN"/>
        </w:rPr>
      </w:pPr>
      <w:r>
        <w:rPr>
          <w:rFonts w:hint="eastAsia" w:ascii="黑体" w:hAnsi="黑体" w:eastAsia="黑体" w:cs="黑体"/>
          <w:b/>
          <w:bCs/>
          <w:color w:val="7030A0"/>
          <w:sz w:val="21"/>
          <w:szCs w:val="21"/>
          <w:lang w:val="en-US" w:eastAsia="zh-CN"/>
        </w:rPr>
        <w:t>核心观点摘要：</w:t>
      </w:r>
    </w:p>
    <w:p w14:paraId="5B14B092">
      <w:p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在空间应用场景中，任务常常涉及多个智能体的协同完成。这类协同情形对智能体间的通信效率与策略协调性提出更高要求，推动强化学习从单智能体范式，自然扩展至多智能体问题建模.特别地，在合作型任务中，多智能体强化学习问题通常被形式化为去中心化的部分可观测马尔可夫决策过程，该模型在传统马尔可夫决策过程基础上，引入多智能体与局部观测限制，刻画信息不完备下的联合决策问题.</w:t>
      </w:r>
    </w:p>
    <w:p w14:paraId="37108AFF">
      <w:p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在多智能体强化学习方法上，该文献提出：</w:t>
      </w:r>
    </w:p>
    <w:p w14:paraId="7E073080">
      <w:pPr>
        <w:numPr>
          <w:ilvl w:val="0"/>
          <w:numId w:val="1"/>
        </w:numPr>
        <w:ind w:left="300" w:leftChars="0" w:firstLine="0" w:firstLineChars="0"/>
        <w:jc w:val="both"/>
        <w:rPr>
          <w:rFonts w:hint="eastAsia" w:ascii="黑体" w:hAnsi="黑体" w:eastAsia="黑体" w:cs="黑体"/>
          <w:b w:val="0"/>
          <w:bCs w:val="0"/>
          <w:sz w:val="15"/>
          <w:szCs w:val="15"/>
          <w:lang w:val="en-US" w:eastAsia="zh-CN"/>
        </w:rPr>
      </w:pPr>
      <w:r>
        <w:rPr>
          <w:rFonts w:hint="eastAsia" w:ascii="黑体" w:hAnsi="黑体" w:eastAsia="黑体" w:cs="黑体"/>
          <w:b/>
          <w:bCs/>
          <w:color w:val="7030A0"/>
          <w:sz w:val="15"/>
          <w:szCs w:val="15"/>
          <w:lang w:val="en-US" w:eastAsia="zh-CN"/>
        </w:rPr>
        <w:t>值分解方法</w:t>
      </w:r>
      <w:r>
        <w:rPr>
          <w:rFonts w:hint="eastAsia" w:ascii="黑体" w:hAnsi="黑体" w:eastAsia="黑体" w:cs="黑体"/>
          <w:b w:val="0"/>
          <w:bCs w:val="0"/>
          <w:sz w:val="15"/>
          <w:szCs w:val="15"/>
          <w:lang w:val="en-US" w:eastAsia="zh-CN"/>
        </w:rPr>
        <w:t>：基于价值函数的多智能体强化学习方法起源于深度Q网络学习，其基本思想是通过对动作-价值函数的逼近，评估各动作的未来期望回报，引导策略选择.</w:t>
      </w:r>
    </w:p>
    <w:p w14:paraId="23A335C0">
      <w:pPr>
        <w:numPr>
          <w:ilvl w:val="0"/>
          <w:numId w:val="1"/>
        </w:numPr>
        <w:ind w:left="300" w:leftChars="0" w:firstLine="0" w:firstLineChars="0"/>
        <w:jc w:val="both"/>
        <w:rPr>
          <w:rFonts w:hint="default" w:ascii="黑体" w:hAnsi="黑体" w:eastAsia="黑体" w:cs="黑体"/>
          <w:b w:val="0"/>
          <w:bCs w:val="0"/>
          <w:sz w:val="15"/>
          <w:szCs w:val="15"/>
          <w:lang w:val="en-US" w:eastAsia="zh-CN"/>
        </w:rPr>
      </w:pPr>
      <w:r>
        <w:rPr>
          <w:rFonts w:hint="default" w:ascii="黑体" w:hAnsi="黑体" w:eastAsia="黑体" w:cs="黑体"/>
          <w:b/>
          <w:bCs/>
          <w:color w:val="7030A0"/>
          <w:sz w:val="15"/>
          <w:szCs w:val="15"/>
          <w:lang w:val="en-US" w:eastAsia="zh-CN"/>
        </w:rPr>
        <w:t>策略梯度方法</w:t>
      </w:r>
      <w:r>
        <w:rPr>
          <w:rFonts w:hint="eastAsia" w:ascii="黑体" w:hAnsi="黑体" w:eastAsia="黑体" w:cs="黑体"/>
          <w:b/>
          <w:bCs/>
          <w:color w:val="7030A0"/>
          <w:sz w:val="15"/>
          <w:szCs w:val="15"/>
          <w:lang w:val="en-US" w:eastAsia="zh-CN"/>
        </w:rPr>
        <w:t>：</w:t>
      </w:r>
      <w:r>
        <w:rPr>
          <w:rFonts w:hint="eastAsia" w:ascii="黑体" w:hAnsi="黑体" w:eastAsia="黑体" w:cs="黑体"/>
          <w:b w:val="0"/>
          <w:bCs w:val="0"/>
          <w:sz w:val="15"/>
          <w:szCs w:val="15"/>
          <w:lang w:val="en-US" w:eastAsia="zh-CN"/>
        </w:rPr>
        <w:t xml:space="preserve">相比基于价值函数的方法，基于策略的方法如深度确定性策略梯度优化与近端策略优化，则直接对参数 化策略进行优化，具备处理高维或连续动作空间的能力，尤其适用于空间任务中涉及姿态控制、推进调度等连续控制问题. </w:t>
      </w:r>
    </w:p>
    <w:p w14:paraId="1369958C">
      <w:pPr>
        <w:jc w:val="both"/>
        <w:rPr>
          <w:rFonts w:hint="eastAsia" w:ascii="黑体" w:hAnsi="黑体" w:eastAsia="黑体" w:cs="黑体"/>
          <w:b/>
          <w:bCs/>
          <w:sz w:val="21"/>
          <w:szCs w:val="21"/>
          <w:lang w:val="en-US" w:eastAsia="zh-CN"/>
        </w:rPr>
      </w:pPr>
    </w:p>
    <w:p w14:paraId="0FF079F4">
      <w:pPr>
        <w:jc w:val="both"/>
        <w:rPr>
          <w:rFonts w:hint="eastAsia" w:ascii="黑体" w:hAnsi="黑体" w:eastAsia="黑体" w:cs="黑体"/>
          <w:b/>
          <w:bCs/>
          <w:color w:val="7030A0"/>
          <w:sz w:val="21"/>
          <w:szCs w:val="21"/>
          <w:lang w:val="en-US" w:eastAsia="zh-CN"/>
        </w:rPr>
      </w:pPr>
      <w:r>
        <w:rPr>
          <w:rFonts w:hint="eastAsia" w:ascii="黑体" w:hAnsi="黑体" w:eastAsia="黑体" w:cs="黑体"/>
          <w:b/>
          <w:bCs/>
          <w:color w:val="7030A0"/>
          <w:sz w:val="21"/>
          <w:szCs w:val="21"/>
          <w:lang w:val="en-US" w:eastAsia="zh-CN"/>
        </w:rPr>
        <w:t>对项目的启发：</w:t>
      </w:r>
    </w:p>
    <w:p w14:paraId="535B28D4">
      <w:pPr>
        <w:ind w:firstLine="300" w:firstLineChars="200"/>
        <w:jc w:val="both"/>
        <w:rPr>
          <w:rFonts w:hint="default"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该文献对于我们的研究贡献非常之大，尤其是作者提及的对于“多个智能体的协同完成”的解决方法。我们需要出船舰一个“去中心化”的机器人通讯网络，因为在月球熔岩管内部，由于信号的衰减，需要移动的机器人本身作为路由器，类似于跳板，让信号在他们身上跳跃。这正需要一种算法来权衡这样一个没有中心，也就是没有起点的网络，如何部署能达到效率最大化，该文献提及的“在传统马尔可夫决策过程基础上，引入多智能体与局部观测限制，刻画信息不完备下的联合决策问题.”给了我们很大的启发。</w:t>
      </w:r>
    </w:p>
    <w:p w14:paraId="23F862A0">
      <w:pPr>
        <w:jc w:val="both"/>
        <w:rPr>
          <w:rFonts w:hint="eastAsia" w:ascii="黑体" w:hAnsi="黑体" w:eastAsia="黑体" w:cs="黑体"/>
          <w:b/>
          <w:bCs/>
          <w:color w:val="7030A0"/>
          <w:sz w:val="21"/>
          <w:szCs w:val="21"/>
          <w:lang w:val="en-US" w:eastAsia="zh-CN"/>
        </w:rPr>
      </w:pPr>
      <w:r>
        <w:rPr>
          <w:rFonts w:hint="eastAsia" w:ascii="黑体" w:hAnsi="黑体" w:eastAsia="黑体" w:cs="黑体"/>
          <w:b/>
          <w:bCs/>
          <w:color w:val="7030A0"/>
          <w:sz w:val="21"/>
          <w:szCs w:val="21"/>
          <w:lang w:val="en-US" w:eastAsia="zh-CN"/>
        </w:rPr>
        <w:drawing>
          <wp:inline distT="0" distB="0" distL="114300" distR="114300">
            <wp:extent cx="1467485" cy="887730"/>
            <wp:effectExtent l="0" t="0" r="4445" b="5080"/>
            <wp:docPr id="1" name="图片 1" descr="d965baddf645182711274b96a6db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965baddf645182711274b96a6db6869"/>
                    <pic:cNvPicPr>
                      <a:picLocks noChangeAspect="1"/>
                    </pic:cNvPicPr>
                  </pic:nvPicPr>
                  <pic:blipFill>
                    <a:blip r:embed="rId4"/>
                    <a:srcRect r="492" b="52798"/>
                    <a:stretch>
                      <a:fillRect/>
                    </a:stretch>
                  </pic:blipFill>
                  <pic:spPr>
                    <a:xfrm>
                      <a:off x="0" y="0"/>
                      <a:ext cx="1467485" cy="887730"/>
                    </a:xfrm>
                    <a:prstGeom prst="rect">
                      <a:avLst/>
                    </a:prstGeom>
                  </pic:spPr>
                </pic:pic>
              </a:graphicData>
            </a:graphic>
          </wp:inline>
        </w:drawing>
      </w:r>
      <w:r>
        <w:rPr>
          <w:rFonts w:hint="eastAsia" w:ascii="黑体" w:hAnsi="黑体" w:eastAsia="黑体" w:cs="黑体"/>
          <w:b/>
          <w:bCs/>
          <w:color w:val="7030A0"/>
          <w:sz w:val="21"/>
          <w:szCs w:val="21"/>
          <w:lang w:val="en-US" w:eastAsia="zh-CN"/>
        </w:rPr>
        <w:drawing>
          <wp:inline distT="0" distB="0" distL="114300" distR="114300">
            <wp:extent cx="1355725" cy="887095"/>
            <wp:effectExtent l="0" t="0" r="7620" b="5715"/>
            <wp:docPr id="3" name="图片 3" descr="d965baddf645182711274b96a6db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965baddf645182711274b96a6db6869"/>
                    <pic:cNvPicPr>
                      <a:picLocks noChangeAspect="1"/>
                    </pic:cNvPicPr>
                  </pic:nvPicPr>
                  <pic:blipFill>
                    <a:blip r:embed="rId4"/>
                    <a:srcRect t="48177" r="-1039"/>
                    <a:stretch>
                      <a:fillRect/>
                    </a:stretch>
                  </pic:blipFill>
                  <pic:spPr>
                    <a:xfrm>
                      <a:off x="0" y="0"/>
                      <a:ext cx="1355725" cy="887095"/>
                    </a:xfrm>
                    <a:prstGeom prst="rect">
                      <a:avLst/>
                    </a:prstGeom>
                  </pic:spPr>
                </pic:pic>
              </a:graphicData>
            </a:graphic>
          </wp:inline>
        </w:drawing>
      </w:r>
    </w:p>
    <w:p w14:paraId="6EDD5A9A">
      <w:pPr>
        <w:jc w:val="both"/>
        <w:rPr>
          <w:rFonts w:hint="eastAsia" w:ascii="黑体" w:hAnsi="黑体" w:eastAsia="黑体" w:cs="黑体"/>
          <w:b/>
          <w:bCs/>
          <w:color w:val="7030A0"/>
          <w:sz w:val="21"/>
          <w:szCs w:val="21"/>
          <w:lang w:val="en-US" w:eastAsia="zh-CN"/>
        </w:rPr>
      </w:pPr>
    </w:p>
    <w:p w14:paraId="52422428">
      <w:pPr>
        <w:jc w:val="both"/>
        <w:rPr>
          <w:rFonts w:hint="eastAsia" w:ascii="黑体" w:hAnsi="黑体" w:eastAsia="黑体" w:cs="黑体"/>
          <w:b/>
          <w:bCs/>
          <w:color w:val="7030A0"/>
          <w:sz w:val="21"/>
          <w:szCs w:val="21"/>
          <w:lang w:val="en-US" w:eastAsia="zh-CN"/>
        </w:rPr>
      </w:pPr>
    </w:p>
    <w:p w14:paraId="4E93FB59">
      <w:pPr>
        <w:jc w:val="both"/>
        <w:rPr>
          <w:rFonts w:hint="eastAsia" w:ascii="黑体" w:hAnsi="黑体" w:eastAsia="黑体" w:cs="黑体"/>
          <w:b/>
          <w:bCs/>
          <w:color w:val="7030A0"/>
          <w:sz w:val="21"/>
          <w:szCs w:val="21"/>
          <w:lang w:val="en-US" w:eastAsia="zh-CN"/>
        </w:rPr>
      </w:pPr>
    </w:p>
    <w:p w14:paraId="14DACBA7">
      <w:pPr>
        <w:jc w:val="both"/>
        <w:rPr>
          <w:rFonts w:hint="eastAsia" w:ascii="黑体" w:hAnsi="黑体" w:eastAsia="黑体" w:cs="黑体"/>
          <w:b/>
          <w:bCs/>
          <w:color w:val="7030A0"/>
          <w:sz w:val="21"/>
          <w:szCs w:val="21"/>
          <w:lang w:val="en-US" w:eastAsia="zh-CN"/>
        </w:rPr>
      </w:pPr>
    </w:p>
    <w:p w14:paraId="0AE85D98">
      <w:pPr>
        <w:jc w:val="both"/>
        <w:rPr>
          <w:rFonts w:hint="eastAsia" w:ascii="黑体" w:hAnsi="黑体" w:eastAsia="黑体" w:cs="黑体"/>
          <w:b/>
          <w:bCs/>
          <w:color w:val="7030A0"/>
          <w:sz w:val="21"/>
          <w:szCs w:val="21"/>
          <w:lang w:val="en-US" w:eastAsia="zh-CN"/>
        </w:rPr>
      </w:pPr>
    </w:p>
    <w:p w14:paraId="5F2C6160">
      <w:pPr>
        <w:jc w:val="both"/>
        <w:rPr>
          <w:rFonts w:hint="eastAsia" w:ascii="黑体" w:hAnsi="黑体" w:eastAsia="黑体" w:cs="黑体"/>
          <w:b/>
          <w:bCs/>
          <w:color w:val="7030A0"/>
          <w:sz w:val="21"/>
          <w:szCs w:val="21"/>
          <w:lang w:val="en-US" w:eastAsia="zh-CN"/>
        </w:rPr>
      </w:pPr>
    </w:p>
    <w:p w14:paraId="6F0C4605">
      <w:pPr>
        <w:jc w:val="both"/>
        <w:rPr>
          <w:rFonts w:hint="eastAsia" w:ascii="黑体" w:hAnsi="黑体" w:eastAsia="黑体" w:cs="黑体"/>
          <w:b/>
          <w:bCs/>
          <w:color w:val="7030A0"/>
          <w:sz w:val="21"/>
          <w:szCs w:val="21"/>
          <w:lang w:val="en-US" w:eastAsia="zh-CN"/>
        </w:rPr>
      </w:pPr>
    </w:p>
    <w:p w14:paraId="0D984355">
      <w:pPr>
        <w:jc w:val="both"/>
        <w:rPr>
          <w:rFonts w:hint="eastAsia" w:ascii="黑体" w:hAnsi="黑体" w:eastAsia="黑体" w:cs="黑体"/>
          <w:b/>
          <w:bCs/>
          <w:color w:val="7030A0"/>
          <w:sz w:val="21"/>
          <w:szCs w:val="21"/>
          <w:lang w:val="en-US" w:eastAsia="zh-CN"/>
        </w:rPr>
      </w:pPr>
    </w:p>
    <w:p w14:paraId="2165D031">
      <w:pPr>
        <w:jc w:val="both"/>
        <w:rPr>
          <w:rFonts w:hint="eastAsia" w:ascii="黑体" w:hAnsi="黑体" w:eastAsia="黑体" w:cs="黑体"/>
          <w:b/>
          <w:bCs/>
          <w:color w:val="7030A0"/>
          <w:sz w:val="21"/>
          <w:szCs w:val="21"/>
          <w:lang w:val="en-US" w:eastAsia="zh-CN"/>
        </w:rPr>
      </w:pPr>
    </w:p>
    <w:p w14:paraId="4EC7C9C6">
      <w:pPr>
        <w:jc w:val="both"/>
        <w:rPr>
          <w:rFonts w:hint="eastAsia" w:ascii="黑体" w:hAnsi="黑体" w:eastAsia="黑体" w:cs="黑体"/>
          <w:b/>
          <w:bCs/>
          <w:sz w:val="28"/>
          <w:szCs w:val="28"/>
          <w:lang w:val="en-US" w:eastAsia="zh-CN"/>
        </w:rPr>
      </w:pPr>
    </w:p>
    <w:p w14:paraId="1262DE85">
      <w:pPr>
        <w:jc w:val="center"/>
        <w:rPr>
          <w:rFonts w:hint="default" w:ascii="黑体" w:hAnsi="黑体" w:eastAsia="黑体" w:cs="黑体"/>
          <w:b/>
          <w:bCs/>
          <w:sz w:val="28"/>
          <w:szCs w:val="28"/>
          <w:u w:val="single"/>
          <w:lang w:val="en-US" w:eastAsia="zh-CN"/>
        </w:rPr>
      </w:pPr>
      <w:r>
        <w:rPr>
          <w:rFonts w:hint="eastAsia" w:ascii="黑体" w:hAnsi="黑体" w:eastAsia="黑体" w:cs="黑体"/>
          <w:b/>
          <w:bCs/>
          <w:sz w:val="28"/>
          <w:szCs w:val="28"/>
          <w:u w:val="single"/>
          <w:lang w:val="en-US" w:eastAsia="zh-CN"/>
        </w:rPr>
        <w:t>空间延迟/中断容忍网络的接触图路由研究综述阅读报告</w:t>
      </w:r>
    </w:p>
    <w:p w14:paraId="5B7D4907">
      <w:pPr>
        <w:jc w:val="center"/>
        <w:rPr>
          <w:rFonts w:hint="eastAsia" w:ascii="黑体" w:hAnsi="黑体" w:eastAsia="黑体" w:cs="黑体"/>
          <w:b w:val="0"/>
          <w:bCs w:val="0"/>
          <w:sz w:val="13"/>
          <w:szCs w:val="13"/>
          <w:lang w:val="en-US" w:eastAsia="zh-CN"/>
        </w:rPr>
      </w:pPr>
      <w:r>
        <w:rPr>
          <w:rFonts w:hint="eastAsia" w:ascii="黑体" w:hAnsi="黑体" w:eastAsia="黑体" w:cs="黑体"/>
          <w:b w:val="0"/>
          <w:bCs w:val="0"/>
          <w:sz w:val="13"/>
          <w:szCs w:val="13"/>
          <w:lang w:val="en-US" w:eastAsia="zh-CN"/>
        </w:rPr>
        <w:t>（</w:t>
      </w:r>
      <w:r>
        <w:rPr>
          <w:rFonts w:ascii="微软雅黑" w:hAnsi="微软雅黑" w:eastAsia="微软雅黑" w:cs="微软雅黑"/>
          <w:b w:val="0"/>
          <w:bCs w:val="0"/>
          <w:i w:val="0"/>
          <w:iCs w:val="0"/>
          <w:caps w:val="0"/>
          <w:color w:val="666666"/>
          <w:spacing w:val="0"/>
          <w:sz w:val="13"/>
          <w:szCs w:val="13"/>
          <w:shd w:val="clear" w:fill="FFFFFF"/>
        </w:rPr>
        <w:t>徐双,王兴伟,黄敏,等.空间延迟/中断容忍网络的接触图路由研究综述[J].软件学报,2019,30(2):323-345.DOI:10.13328/j.cnki.jos.005635.</w:t>
      </w:r>
      <w:r>
        <w:rPr>
          <w:rFonts w:hint="eastAsia" w:ascii="黑体" w:hAnsi="黑体" w:eastAsia="黑体" w:cs="黑体"/>
          <w:b w:val="0"/>
          <w:bCs w:val="0"/>
          <w:sz w:val="13"/>
          <w:szCs w:val="13"/>
          <w:lang w:val="en-US" w:eastAsia="zh-CN"/>
        </w:rPr>
        <w:t>）</w:t>
      </w:r>
    </w:p>
    <w:p w14:paraId="6A84FEC0">
      <w:pPr>
        <w:jc w:val="both"/>
        <w:rPr>
          <w:rFonts w:hint="eastAsia" w:ascii="黑体" w:hAnsi="黑体" w:eastAsia="黑体" w:cs="黑体"/>
          <w:b w:val="0"/>
          <w:bCs w:val="0"/>
          <w:sz w:val="15"/>
          <w:szCs w:val="15"/>
          <w:lang w:val="en-US" w:eastAsia="zh-CN"/>
        </w:rPr>
      </w:pPr>
      <w:r>
        <w:rPr>
          <w:rFonts w:hint="eastAsia" w:ascii="黑体" w:hAnsi="黑体" w:eastAsia="黑体" w:cs="黑体"/>
          <w:b/>
          <w:bCs/>
          <w:color w:val="7030A0"/>
          <w:sz w:val="21"/>
          <w:szCs w:val="21"/>
          <w:lang w:val="en-US" w:eastAsia="zh-CN"/>
        </w:rPr>
        <w:t>文献信息</w:t>
      </w:r>
      <w:r>
        <w:rPr>
          <w:rFonts w:hint="eastAsia" w:ascii="黑体" w:hAnsi="黑体" w:eastAsia="黑体" w:cs="黑体"/>
          <w:b/>
          <w:bCs/>
          <w:sz w:val="21"/>
          <w:szCs w:val="21"/>
          <w:lang w:val="en-US" w:eastAsia="zh-CN"/>
        </w:rPr>
        <w:t>：</w:t>
      </w:r>
    </w:p>
    <w:p w14:paraId="247844E2">
      <w:pPr>
        <w:jc w:val="both"/>
        <w:rPr>
          <w:rFonts w:hint="eastAsia" w:ascii="黑体" w:hAnsi="黑体" w:eastAsia="黑体" w:cs="黑体"/>
          <w:b w:val="0"/>
          <w:bCs w:val="0"/>
          <w:sz w:val="15"/>
          <w:szCs w:val="15"/>
          <w:lang w:val="en-US" w:eastAsia="zh-CN"/>
        </w:rPr>
      </w:pPr>
      <w:r>
        <w:rPr>
          <w:rFonts w:hint="eastAsia" w:ascii="黑体" w:hAnsi="黑体" w:eastAsia="黑体" w:cs="黑体"/>
          <w:b/>
          <w:bCs/>
          <w:sz w:val="18"/>
          <w:szCs w:val="18"/>
          <w:lang w:val="en-US" w:eastAsia="zh-CN"/>
        </w:rPr>
        <w:t>摘要：</w:t>
      </w:r>
      <w:r>
        <w:rPr>
          <w:rFonts w:hint="eastAsia" w:ascii="黑体" w:hAnsi="黑体" w:eastAsia="黑体" w:cs="黑体"/>
          <w:b w:val="0"/>
          <w:bCs w:val="0"/>
          <w:sz w:val="15"/>
          <w:szCs w:val="15"/>
          <w:lang w:val="en-US" w:eastAsia="zh-CN"/>
        </w:rPr>
        <w:t>基于覆盖协议和存储-携带-转发范式的延迟/中断容忍网络(delay/disruption tolerant network,简称DTN)被认为是应对空间环境挑战(如长延迟、间歇性连接等)的有效解决方案.接触图路由(contact graph routing,简称CGR)是一种利用空间DTN网络拓扑的先验知识来计算路径的动态路由算法.首先介绍了CGR的基本原理和算法过程,并给出了相关术语的定义及相应计算公式;然后,从路由环路避免、计算效率、路由准确性、拥塞控制、机会性扩展和异常处理方面总结了现有的CGR改进工作;接下来概述了已经进行的评估DTN协议栈和CGR适用性的代表性实测实验,并通过GEO/MEO/LEO卫星网络仿真实验,对比评估了CGR算法与多层卫星路由算法(multi-layered satellite routing algorithm,简称MLSR)的性能差异;最后给出了CGR的未来发展方向,包括扩展块CGR(CGR-extension block,简称CGR-EB)和缓存CGR(cache-CGR,简称C-CGR)整合、机会CGR、CGR向大型网络的扩展、服务质量保障CGR... 更多</w:t>
      </w:r>
    </w:p>
    <w:p w14:paraId="3833804A">
      <w:pPr>
        <w:jc w:val="both"/>
        <w:rPr>
          <w:rFonts w:hint="eastAsia" w:ascii="黑体" w:hAnsi="黑体" w:eastAsia="黑体" w:cs="黑体"/>
          <w:b/>
          <w:bCs/>
          <w:sz w:val="18"/>
          <w:szCs w:val="18"/>
          <w:lang w:val="en-US" w:eastAsia="zh-CN"/>
        </w:rPr>
      </w:pPr>
      <w:r>
        <w:rPr>
          <w:rFonts w:hint="eastAsia" w:ascii="黑体" w:hAnsi="黑体" w:eastAsia="黑体" w:cs="黑体"/>
          <w:b/>
          <w:bCs/>
          <w:sz w:val="18"/>
          <w:szCs w:val="18"/>
          <w:lang w:val="en-US" w:eastAsia="zh-CN"/>
        </w:rPr>
        <w:t>关键词：</w:t>
      </w:r>
    </w:p>
    <w:p w14:paraId="3D4976FC">
      <w:pPr>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"https://kns.cnki.net/kcms2/keyword/detail?v=Ef7Li4TQaLyd_ZDpC3zJEI96ViYSTCoVtlGiX41HrM-GWo1fSiFETkZjiJqkKjVLiHWkxlCBMZfT_dlAI00OGQFBuUvIEnlIr3jqqLSlVSKbLPN4u18u1897okIqtSpIaLUloONkHHU2YwQXp_PPxmsAdJh9fTbfZRYHNJtUVPTOPl6dqKkua_ctyNMU78GU&amp;uniplatform=NZKPT&amp;language=CHS"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空间延迟/中断容忍网络;</w:t>
      </w:r>
      <w:r>
        <w:rPr>
          <w:rFonts w:hint="eastAsia" w:ascii="黑体" w:hAnsi="黑体" w:eastAsia="黑体" w:cs="黑体"/>
          <w:b w:val="0"/>
          <w:bCs w:val="0"/>
          <w:sz w:val="15"/>
          <w:szCs w:val="15"/>
          <w:lang w:val="en-US" w:eastAsia="zh-CN"/>
        </w:rPr>
        <w:fldChar w:fldCharType="end"/>
      </w: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"https://kns.cnki.net/kcms2/keyword/detail?v=Ef7Li4TQaLyd_ZDpC3zJEI96ViYSTCoVkp7hfcPJ42-XEAEsdIO8UCBwPTP1pIaJgV3vt562Pbn6rLyil4PJiVh8fd_hO0-9ir-Sc9fP0BrnW-dC6rPa-jYOc9tkyrvA&amp;uniplatform=NZKPT&amp;language=CHS"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接触图路由;</w:t>
      </w:r>
      <w:r>
        <w:rPr>
          <w:rFonts w:hint="eastAsia" w:ascii="黑体" w:hAnsi="黑体" w:eastAsia="黑体" w:cs="黑体"/>
          <w:b w:val="0"/>
          <w:bCs w:val="0"/>
          <w:sz w:val="15"/>
          <w:szCs w:val="15"/>
          <w:lang w:val="en-US" w:eastAsia="zh-CN"/>
        </w:rPr>
        <w:fldChar w:fldCharType="end"/>
      </w: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"https://kns.cnki.net/kcms2/keyword/detail?v=Ef7Li4TQaLyd_ZDpC3zJEI96ViYSTCoVkp7hfcPJ42-XEAEsdIO8UCBwPTP1pIaJgV3vt562Pbn6rLyil4PJib907ZgbubGLD0r7Oz-bVH0nCiNKgnjfNpbSav-kf0NjP1Jl0a1ERxrEw47O-zMRQQ1ylTxj9CB9&amp;uniplatform=NZKPT&amp;language=CHS"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接触图路由改进;</w:t>
      </w:r>
      <w:r>
        <w:rPr>
          <w:rFonts w:hint="eastAsia" w:ascii="黑体" w:hAnsi="黑体" w:eastAsia="黑体" w:cs="黑体"/>
          <w:b w:val="0"/>
          <w:bCs w:val="0"/>
          <w:sz w:val="15"/>
          <w:szCs w:val="15"/>
          <w:lang w:val="en-US" w:eastAsia="zh-CN"/>
        </w:rPr>
        <w:fldChar w:fldCharType="end"/>
      </w: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"https://kns.cnki.net/kcms2/keyword/detail?v=Ef7Li4TQaLyd_ZDpC3zJEI96ViYSTCoV1-iBEMpey1KleZ53b4rxdkvvWucmfvvs2d5xh7KQoOJFGiVoWQCyic9YnXyxIsbz0slFbTsU5NlgKDAdbyvcyw==&amp;uniplatform=NZKPT&amp;language=CHS"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实测实验;</w:t>
      </w:r>
      <w:r>
        <w:rPr>
          <w:rFonts w:hint="eastAsia" w:ascii="黑体" w:hAnsi="黑体" w:eastAsia="黑体" w:cs="黑体"/>
          <w:b w:val="0"/>
          <w:bCs w:val="0"/>
          <w:sz w:val="15"/>
          <w:szCs w:val="15"/>
          <w:lang w:val="en-US" w:eastAsia="zh-CN"/>
        </w:rPr>
        <w:fldChar w:fldCharType="end"/>
      </w:r>
      <w:r>
        <w:rPr>
          <w:rFonts w:hint="eastAsia" w:ascii="黑体" w:hAnsi="黑体" w:eastAsia="黑体" w:cs="黑体"/>
          <w:b w:val="0"/>
          <w:bCs w:val="0"/>
          <w:sz w:val="15"/>
          <w:szCs w:val="15"/>
          <w:lang w:val="en-US" w:eastAsia="zh-CN"/>
        </w:rPr>
        <w:fldChar w:fldCharType="begin"/>
      </w:r>
      <w:r>
        <w:rPr>
          <w:rFonts w:hint="eastAsia" w:ascii="黑体" w:hAnsi="黑体" w:eastAsia="黑体" w:cs="黑体"/>
          <w:b w:val="0"/>
          <w:bCs w:val="0"/>
          <w:sz w:val="15"/>
          <w:szCs w:val="15"/>
          <w:lang w:val="en-US" w:eastAsia="zh-CN"/>
        </w:rPr>
        <w:instrText xml:space="preserve"> HYPERLINK "https://kns.cnki.net/kcms2/keyword/detail?v=Ef7Li4TQaLyd_ZDpC3zJEI96ViYSTCoV8MRsS4fGaToaVTWDSuyCfmvvBg_2TJkdT4c0ZmsWBMVYLhz55X_qDTZFkXay02ks9rOuUBK5SaonUZYSXf2AaQ==&amp;uniplatform=NZKPT&amp;language=CHS" \t "https://kns.cnki.net/kcms2/article/_blank" </w:instrText>
      </w:r>
      <w:r>
        <w:rPr>
          <w:rFonts w:hint="eastAsia" w:ascii="黑体" w:hAnsi="黑体" w:eastAsia="黑体" w:cs="黑体"/>
          <w:b w:val="0"/>
          <w:bCs w:val="0"/>
          <w:sz w:val="15"/>
          <w:szCs w:val="15"/>
          <w:lang w:val="en-US" w:eastAsia="zh-CN"/>
        </w:rPr>
        <w:fldChar w:fldCharType="separate"/>
      </w:r>
      <w:r>
        <w:rPr>
          <w:rFonts w:hint="eastAsia" w:ascii="黑体" w:hAnsi="黑体" w:eastAsia="黑体" w:cs="黑体"/>
          <w:b w:val="0"/>
          <w:bCs w:val="0"/>
          <w:sz w:val="15"/>
          <w:szCs w:val="15"/>
          <w:lang w:val="en-US" w:eastAsia="zh-CN"/>
        </w:rPr>
        <w:t>性能评估;</w:t>
      </w:r>
      <w:r>
        <w:rPr>
          <w:rFonts w:hint="eastAsia" w:ascii="黑体" w:hAnsi="黑体" w:eastAsia="黑体" w:cs="黑体"/>
          <w:b w:val="0"/>
          <w:bCs w:val="0"/>
          <w:sz w:val="15"/>
          <w:szCs w:val="15"/>
          <w:lang w:val="en-US" w:eastAsia="zh-CN"/>
        </w:rPr>
        <w:fldChar w:fldCharType="end"/>
      </w:r>
    </w:p>
    <w:p w14:paraId="2B8CD978">
      <w:pPr>
        <w:jc w:val="both"/>
        <w:rPr>
          <w:rFonts w:hint="eastAsia" w:ascii="黑体" w:hAnsi="黑体" w:eastAsia="黑体" w:cs="黑体"/>
          <w:b/>
          <w:bCs/>
          <w:sz w:val="21"/>
          <w:szCs w:val="21"/>
          <w:lang w:val="en-US" w:eastAsia="zh-CN"/>
        </w:rPr>
      </w:pPr>
    </w:p>
    <w:p w14:paraId="44A6E2D2">
      <w:pPr>
        <w:jc w:val="both"/>
        <w:rPr>
          <w:rFonts w:hint="eastAsia" w:ascii="黑体" w:hAnsi="黑体" w:eastAsia="黑体" w:cs="黑体"/>
          <w:b/>
          <w:bCs/>
          <w:color w:val="7030A0"/>
          <w:sz w:val="21"/>
          <w:szCs w:val="21"/>
          <w:lang w:val="en-US" w:eastAsia="zh-CN"/>
        </w:rPr>
      </w:pPr>
      <w:r>
        <w:rPr>
          <w:rFonts w:hint="eastAsia" w:ascii="黑体" w:hAnsi="黑体" w:eastAsia="黑体" w:cs="黑体"/>
          <w:b/>
          <w:bCs/>
          <w:color w:val="7030A0"/>
          <w:sz w:val="21"/>
          <w:szCs w:val="21"/>
          <w:lang w:val="en-US" w:eastAsia="zh-CN"/>
        </w:rPr>
        <w:t>核心观点摘要：</w:t>
      </w:r>
    </w:p>
    <w:p w14:paraId="2B7A0557">
      <w:p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CGR 是一种分布式路径计算方法,路径上的每个节点一旦接收到束,则重新计算到达该束的目的节点的最佳路径,从而确定当前节点的下一跳节点.</w:t>
      </w:r>
    </w:p>
    <w:p w14:paraId="367BDD47">
      <w:p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CGR 假定:</w:t>
      </w:r>
    </w:p>
    <w:p w14:paraId="4F520918">
      <w:pPr>
        <w:numPr>
          <w:ilvl w:val="0"/>
          <w:numId w:val="2"/>
        </w:num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网络具有拓扑预计算能力;</w:t>
      </w:r>
    </w:p>
    <w:p w14:paraId="5E562AE5">
      <w:pPr>
        <w:numPr>
          <w:ilvl w:val="0"/>
          <w:numId w:val="2"/>
        </w:num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网络中的每个节点能够及时而准确地获知全局网络接触信息和本地队列占用情况;</w:t>
      </w:r>
    </w:p>
    <w:p w14:paraId="4BE287F7">
      <w:pPr>
        <w:numPr>
          <w:ilvl w:val="0"/>
          <w:numId w:val="2"/>
        </w:numPr>
        <w:ind w:left="0" w:leftChars="0"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网络拓扑的变化频率低于网络节点配置信息的同步频率 ;</w:t>
      </w:r>
    </w:p>
    <w:p w14:paraId="4FF9FA69">
      <w:pPr>
        <w:numPr>
          <w:ilvl w:val="0"/>
          <w:numId w:val="2"/>
        </w:numPr>
        <w:ind w:left="0" w:leftChars="0"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不可预知的拓扑变化发生频率低,节点失效彼此独立发生 .</w:t>
      </w:r>
    </w:p>
    <w:p w14:paraId="01B7277E">
      <w:pPr>
        <w:numPr>
          <w:ilvl w:val="0"/>
          <w:numId w:val="0"/>
        </w:num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可预知的网络拓扑变化作为节点配置信息,可以提前分发到网络中的每个节点,而对于不可预知的拓扑变化,CGR 依赖于网络管理功能来更新被影响节点的配置.接触(contact)是指两个 DTN 节点之间建立通信链路的机会,由拓扑间隔内的所有可行接触组成的时序列表称为接触计划(contact plan,简称 CP)  .接触计划采用接触消息(contact message)和范围消息(range message)两种类型的接触计划消息(contact plan message)表示[21,30] .其中,接触消息包含接触的起始时刻、结束时刻、发送节点、接收节点和数据传输速率(B/s);范围消息包含接触的起始时刻、结束时刻、发送节点、接收节点、发送节点与接收节点间的距离(&lt;1 光秒).根据接触计划,每个节点可以在本地构建以任意其他节点为目的节点的有向无环图,即接触图(contact graph),接触图的顶点对应于接触,边对应于束在节点上的存储.接触图可用以下两个链表表示:由所有以目的节点为接收节点的接触消息派生出来的 xmit 对象链表,该链表封装了接触的起始时刻、结束时刻、发送节点和数据传输速率,链表中的对象根据接触的结束时刻排序;由范围消息得出的 origin对象链表,该链表封装了发送节点以及发送节点与目的节点间的当前距离.</w:t>
      </w:r>
    </w:p>
    <w:p w14:paraId="5088D877">
      <w:pPr>
        <w:numPr>
          <w:ilvl w:val="0"/>
          <w:numId w:val="0"/>
        </w:num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空间 DTN 具有长延迟、高误码率、拓扑频繁变化等特点,这些特点给空间 DTN 路由带来严峻的挑战.CGR为空间 DTN 路由提供了一个切实可行的解决方案,受到了学术界的广泛关注.本文根据现有文献,给出了 CGR的基本原理、相关术语和算法过程,综述了针对 CGR 的缺陷提出的改进方案和已部署的验证 CGR 的空间飞行实验,并在多层卫星网络中对比评估了 CGR 的性能.在此基础上,本文提出以下有待进一步研究的问题.</w:t>
      </w:r>
    </w:p>
    <w:p w14:paraId="41520851">
      <w:pPr>
        <w:numPr>
          <w:ilvl w:val="0"/>
          <w:numId w:val="3"/>
        </w:num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 xml:space="preserve">CGR-EB 和 C-CGR 分别采用路径编码和路径缓存的方式降低了 CGR 的计算开销,但是前者增加了包头部开销,而后者以缓存空间为代价.如何将 CGR-EB 和 C-CGR 相结合以进一步改善系统整体性能,是一个值得研究的问题. </w:t>
      </w:r>
    </w:p>
    <w:p w14:paraId="0D3DB3DE">
      <w:pPr>
        <w:numPr>
          <w:ilvl w:val="0"/>
          <w:numId w:val="3"/>
        </w:numPr>
        <w:ind w:left="0" w:leftChars="0"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改进 CGR,使其适用于随机性 DTN.虽然针对该问题,现有文献已提出了 OCGR,但性能较差,算法设计有待进一步改进.</w:t>
      </w:r>
    </w:p>
    <w:p w14:paraId="1FB57813">
      <w:pPr>
        <w:numPr>
          <w:ilvl w:val="0"/>
          <w:numId w:val="3"/>
        </w:numPr>
        <w:ind w:left="0" w:leftChars="0"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CGR 在有效性和带宽开销上与当前的 Internet 路由算法相当,但计算复杂度高.尽管这对于小规模简单网络来说不是问题,但对于复杂的大规模网络则不可行.文献首次测试了 CGR 在小、中、大这3 种规模时变网络拓扑上的性能并指出,随着节点间接触数量和网络节点数目的增加,CGR 计算开销显著增长,每个束的转发时间呈指数增长.因此,在 CGR 中引入划域的思想,对于降低 CGR 计算开销、完善其理论基础具有重要的意义.</w:t>
      </w:r>
    </w:p>
    <w:p w14:paraId="6856C97B">
      <w:pPr>
        <w:numPr>
          <w:ilvl w:val="0"/>
          <w:numId w:val="3"/>
        </w:numPr>
        <w:ind w:left="0" w:leftChars="0"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路由协议在提高服务质量(quality of service,简称 QoS)中扮演着重要的角色,而空间 DTN 中的 QoS 路由与 QoS 保障机制等研究仍处于发展的早期阶段 ,因此,设计具有 QoS 保障能力的 CGR 是一个有待研究的问题.</w:t>
      </w:r>
    </w:p>
    <w:p w14:paraId="4A226F4A">
      <w:pPr>
        <w:numPr>
          <w:ilvl w:val="0"/>
          <w:numId w:val="3"/>
        </w:numPr>
        <w:ind w:left="0" w:leftChars="0"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CGR 采用接触列表描述所有时间间隔内节点间的通信机会,对于同一时间段内相同源和目的节点间的上下行链路分别使用不同的接触项描述.因此,当网络规模扩大或网络服务持续时间变长时,接触计划列表将变得非常大,降低了 CGR 算法效率.设计适用于大规模、长服务时间 DTN 的接触计划描述方法,对完善 CGR 理论基础具有重要的意义.</w:t>
      </w:r>
    </w:p>
    <w:p w14:paraId="2FF42FB6">
      <w:pPr>
        <w:numPr>
          <w:ilvl w:val="0"/>
          <w:numId w:val="0"/>
        </w:num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(6) 空间网络配置更新困难、星上计算和处理能力有限、高异构性等特点,给空间组网技术的发展带来了严峻的挑战.将 SDN(software defined networking)和 NFV(network function virtualization)引入到空间网络来设计新的网络组网范式,是应对上述挑战的有效途径.引入 SDN,可以解耦控制平面和转发平面,使空间网络具有可编程性、灵活性和可重构的特点;引入 NFV,能够简化网络管理,促进资源共享、聚合动态分配 .同时,引入上述两种技术能够实现空间网络统一、灵活、细粒度的配置和管理,可以解决空间网络静态路由中因控制结构不灵活而无法满足负载均衡、故障管理和网络扩展的问题以及动态路由全网控制能力弱的问题,有效地权衡空间网络路由灵活性和可控性.</w:t>
      </w:r>
    </w:p>
    <w:p w14:paraId="5C2BD834">
      <w:pPr>
        <w:jc w:val="both"/>
        <w:rPr>
          <w:rFonts w:hint="eastAsia" w:ascii="黑体" w:hAnsi="黑体" w:eastAsia="黑体" w:cs="黑体"/>
          <w:b/>
          <w:bCs/>
          <w:color w:val="7030A0"/>
          <w:sz w:val="21"/>
          <w:szCs w:val="21"/>
          <w:lang w:val="en-US" w:eastAsia="zh-CN"/>
        </w:rPr>
      </w:pPr>
    </w:p>
    <w:p w14:paraId="0E8D803A">
      <w:pPr>
        <w:jc w:val="both"/>
        <w:rPr>
          <w:rFonts w:hint="eastAsia" w:ascii="黑体" w:hAnsi="黑体" w:eastAsia="黑体" w:cs="黑体"/>
          <w:b/>
          <w:bCs/>
          <w:color w:val="7030A0"/>
          <w:sz w:val="21"/>
          <w:szCs w:val="21"/>
          <w:lang w:val="en-US" w:eastAsia="zh-CN"/>
        </w:rPr>
      </w:pPr>
      <w:r>
        <w:rPr>
          <w:rFonts w:hint="eastAsia" w:ascii="黑体" w:hAnsi="黑体" w:eastAsia="黑体" w:cs="黑体"/>
          <w:b/>
          <w:bCs/>
          <w:color w:val="7030A0"/>
          <w:sz w:val="21"/>
          <w:szCs w:val="21"/>
          <w:lang w:val="en-US" w:eastAsia="zh-CN"/>
        </w:rPr>
        <w:t>对项目的启发：</w:t>
      </w:r>
    </w:p>
    <w:p w14:paraId="7C6B84C0">
      <w:pPr>
        <w:ind w:firstLine="300" w:firstLineChars="200"/>
        <w:jc w:val="both"/>
        <w:rPr>
          <w:rFonts w:hint="eastAsia"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CGR 这种“存储-携带-转发”的分布式路径计算方法为我们的机器人通信网络提供了直接的算法基础。月球熔岩管内部同样存在长延迟、间歇性连接的问题——机器人之间只有在彼此通信范围内时才能传输数据，这与空间 DTN 中“接触”的概念高度一致：两个机器人相遇或进入通信范围的机会，就构成一次“接触”，机器人的运动路线决定了接触计划的</w:t>
      </w:r>
      <w:r>
        <w:rPr>
          <w:rFonts w:hint="eastAsia" w:ascii="黑体" w:hAnsi="黑体" w:eastAsia="黑体" w:cs="黑体"/>
          <w:b w:val="0"/>
          <w:bCs w:val="0"/>
          <w:sz w:val="15"/>
          <w:szCs w:val="15"/>
          <w:lang w:val="en-US" w:eastAsia="zh-CN"/>
        </w:rPr>
        <w:t>顺序</w:t>
      </w:r>
      <w:r>
        <w:rPr>
          <w:rFonts w:hint="default" w:ascii="黑体" w:hAnsi="黑体" w:eastAsia="黑体" w:cs="黑体"/>
          <w:b w:val="0"/>
          <w:bCs w:val="0"/>
          <w:sz w:val="15"/>
          <w:szCs w:val="15"/>
          <w:lang w:val="en-US" w:eastAsia="zh-CN"/>
        </w:rPr>
        <w:t>。</w:t>
      </w:r>
    </w:p>
    <w:p w14:paraId="777AA62A">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具体而言，该文献给了我们三点启发。</w:t>
      </w:r>
    </w:p>
    <w:p w14:paraId="428AA6B5">
      <w:pPr>
        <w:numPr>
          <w:ilvl w:val="0"/>
          <w:numId w:val="4"/>
        </w:num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CGR 利用拓扑先验知识预先计算路径、每个节点收到数据后只重算下一跳的思路，与我们需要去中心化网络（没有中心节点、每个机器人自主决策下一跳发给谁）的需求</w:t>
      </w:r>
      <w:r>
        <w:rPr>
          <w:rFonts w:hint="eastAsia" w:ascii="黑体" w:hAnsi="黑体" w:eastAsia="黑体" w:cs="黑体"/>
          <w:b w:val="0"/>
          <w:bCs w:val="0"/>
          <w:sz w:val="15"/>
          <w:szCs w:val="15"/>
          <w:lang w:val="en-US" w:eastAsia="zh-CN"/>
        </w:rPr>
        <w:t>非常的</w:t>
      </w:r>
      <w:r>
        <w:rPr>
          <w:rFonts w:hint="default" w:ascii="黑体" w:hAnsi="黑体" w:eastAsia="黑体" w:cs="黑体"/>
          <w:b w:val="0"/>
          <w:bCs w:val="0"/>
          <w:sz w:val="15"/>
          <w:szCs w:val="15"/>
          <w:lang w:val="en-US" w:eastAsia="zh-CN"/>
        </w:rPr>
        <w:t>契合，可以直接将接触图的思想用于机器人间。</w:t>
      </w:r>
    </w:p>
    <w:p w14:paraId="5D367AA4">
      <w:pPr>
        <w:numPr>
          <w:ilvl w:val="0"/>
          <w:numId w:val="4"/>
        </w:num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CGR 假设网络拓扑变化可预知且变化频率低，而熔岩管内机器人的位置是动态的、接触机会难以精确预知，这暴露了 CGR 在我们场景下的局限，也正好指出了我们的创新空间</w:t>
      </w:r>
      <w:r>
        <w:rPr>
          <w:rFonts w:hint="eastAsia" w:ascii="黑体" w:hAnsi="黑体" w:eastAsia="黑体" w:cs="黑体"/>
          <w:b w:val="0"/>
          <w:bCs w:val="0"/>
          <w:sz w:val="15"/>
          <w:szCs w:val="15"/>
          <w:lang w:val="en-US" w:eastAsia="zh-CN"/>
        </w:rPr>
        <w:t>。</w:t>
      </w:r>
    </w:p>
    <w:p w14:paraId="17ABAF31">
      <w:pPr>
        <w:numPr>
          <w:ilvl w:val="0"/>
          <w:numId w:val="4"/>
        </w:num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文献指出的 CGR 计算开销随网络规模指数增长、需引入划域思想的问题提醒我们，当熔岩管内机器人数量增多时，应考虑分域</w:t>
      </w:r>
      <w:r>
        <w:rPr>
          <w:rFonts w:hint="eastAsia" w:ascii="黑体" w:hAnsi="黑体" w:eastAsia="黑体" w:cs="黑体"/>
          <w:b w:val="0"/>
          <w:bCs w:val="0"/>
          <w:sz w:val="15"/>
          <w:szCs w:val="15"/>
          <w:lang w:val="en-US" w:eastAsia="zh-CN"/>
        </w:rPr>
        <w:t>之类的</w:t>
      </w:r>
      <w:r>
        <w:rPr>
          <w:rFonts w:hint="default" w:ascii="黑体" w:hAnsi="黑体" w:eastAsia="黑体" w:cs="黑体"/>
          <w:b w:val="0"/>
          <w:bCs w:val="0"/>
          <w:sz w:val="15"/>
          <w:szCs w:val="15"/>
          <w:lang w:val="en-US" w:eastAsia="zh-CN"/>
        </w:rPr>
        <w:t>管理，以控制每个机器人维护路由信息的计算与存储开销。</w:t>
      </w:r>
    </w:p>
    <w:p w14:paraId="5A431BC0">
      <w:pPr>
        <w:ind w:firstLine="300" w:firstLineChars="200"/>
        <w:jc w:val="both"/>
        <w:rPr>
          <w:rFonts w:hint="default" w:ascii="黑体" w:hAnsi="黑体" w:eastAsia="黑体" w:cs="黑体"/>
          <w:b w:val="0"/>
          <w:bCs w:val="0"/>
          <w:sz w:val="15"/>
          <w:szCs w:val="15"/>
          <w:lang w:val="en-US" w:eastAsia="zh-CN"/>
        </w:rPr>
      </w:pPr>
    </w:p>
    <w:p w14:paraId="204B324A">
      <w:pPr>
        <w:ind w:firstLine="300" w:firstLineChars="200"/>
        <w:jc w:val="both"/>
        <w:rPr>
          <w:rFonts w:hint="default" w:ascii="黑体" w:hAnsi="黑体" w:eastAsia="黑体" w:cs="黑体"/>
          <w:b w:val="0"/>
          <w:bCs w:val="0"/>
          <w:sz w:val="15"/>
          <w:szCs w:val="15"/>
          <w:lang w:val="en-US" w:eastAsia="zh-CN"/>
        </w:rPr>
      </w:pPr>
    </w:p>
    <w:p w14:paraId="2EC21B2D">
      <w:pPr>
        <w:ind w:firstLine="300" w:firstLineChars="200"/>
        <w:jc w:val="both"/>
        <w:rPr>
          <w:rFonts w:hint="default" w:ascii="黑体" w:hAnsi="黑体" w:eastAsia="黑体" w:cs="黑体"/>
          <w:b w:val="0"/>
          <w:bCs w:val="0"/>
          <w:sz w:val="15"/>
          <w:szCs w:val="15"/>
          <w:lang w:val="en-US" w:eastAsia="zh-CN"/>
        </w:rPr>
      </w:pPr>
    </w:p>
    <w:p w14:paraId="424C21AD">
      <w:pPr>
        <w:ind w:firstLine="300" w:firstLineChars="200"/>
        <w:jc w:val="both"/>
        <w:rPr>
          <w:rFonts w:hint="default" w:ascii="黑体" w:hAnsi="黑体" w:eastAsia="黑体" w:cs="黑体"/>
          <w:b w:val="0"/>
          <w:bCs w:val="0"/>
          <w:sz w:val="15"/>
          <w:szCs w:val="15"/>
          <w:lang w:val="en-US" w:eastAsia="zh-CN"/>
        </w:rPr>
      </w:pPr>
    </w:p>
    <w:p w14:paraId="6A92B5AF">
      <w:pPr>
        <w:ind w:firstLine="300" w:firstLineChars="200"/>
        <w:jc w:val="both"/>
        <w:rPr>
          <w:rFonts w:hint="default" w:ascii="黑体" w:hAnsi="黑体" w:eastAsia="黑体" w:cs="黑体"/>
          <w:b w:val="0"/>
          <w:bCs w:val="0"/>
          <w:sz w:val="15"/>
          <w:szCs w:val="15"/>
          <w:lang w:val="en-US" w:eastAsia="zh-CN"/>
        </w:rPr>
      </w:pPr>
    </w:p>
    <w:p w14:paraId="6F5F9BF4">
      <w:pPr>
        <w:ind w:firstLine="300" w:firstLineChars="200"/>
        <w:jc w:val="both"/>
        <w:rPr>
          <w:rFonts w:hint="default" w:ascii="黑体" w:hAnsi="黑体" w:eastAsia="黑体" w:cs="黑体"/>
          <w:b w:val="0"/>
          <w:bCs w:val="0"/>
          <w:sz w:val="15"/>
          <w:szCs w:val="15"/>
          <w:lang w:val="en-US" w:eastAsia="zh-CN"/>
        </w:rPr>
      </w:pPr>
    </w:p>
    <w:p w14:paraId="674F34CE">
      <w:pPr>
        <w:ind w:firstLine="300" w:firstLineChars="200"/>
        <w:jc w:val="both"/>
        <w:rPr>
          <w:rFonts w:hint="default" w:ascii="黑体" w:hAnsi="黑体" w:eastAsia="黑体" w:cs="黑体"/>
          <w:b w:val="0"/>
          <w:bCs w:val="0"/>
          <w:sz w:val="15"/>
          <w:szCs w:val="15"/>
          <w:lang w:val="en-US" w:eastAsia="zh-CN"/>
        </w:rPr>
      </w:pPr>
    </w:p>
    <w:p w14:paraId="7A2E6E71">
      <w:pPr>
        <w:ind w:firstLine="300" w:firstLineChars="200"/>
        <w:jc w:val="both"/>
        <w:rPr>
          <w:rFonts w:hint="default" w:ascii="黑体" w:hAnsi="黑体" w:eastAsia="黑体" w:cs="黑体"/>
          <w:b w:val="0"/>
          <w:bCs w:val="0"/>
          <w:sz w:val="15"/>
          <w:szCs w:val="15"/>
          <w:lang w:val="en-US" w:eastAsia="zh-CN"/>
        </w:rPr>
      </w:pPr>
    </w:p>
    <w:p w14:paraId="533A6951">
      <w:pPr>
        <w:ind w:firstLine="300" w:firstLineChars="200"/>
        <w:jc w:val="both"/>
        <w:rPr>
          <w:rFonts w:hint="default" w:ascii="黑体" w:hAnsi="黑体" w:eastAsia="黑体" w:cs="黑体"/>
          <w:b w:val="0"/>
          <w:bCs w:val="0"/>
          <w:sz w:val="15"/>
          <w:szCs w:val="15"/>
          <w:lang w:val="en-US" w:eastAsia="zh-CN"/>
        </w:rPr>
      </w:pPr>
    </w:p>
    <w:p w14:paraId="0F1996BC">
      <w:pPr>
        <w:ind w:firstLine="300" w:firstLineChars="200"/>
        <w:jc w:val="both"/>
        <w:rPr>
          <w:rFonts w:hint="default" w:ascii="黑体" w:hAnsi="黑体" w:eastAsia="黑体" w:cs="黑体"/>
          <w:b w:val="0"/>
          <w:bCs w:val="0"/>
          <w:sz w:val="15"/>
          <w:szCs w:val="15"/>
          <w:lang w:val="en-US" w:eastAsia="zh-CN"/>
        </w:rPr>
      </w:pPr>
    </w:p>
    <w:p w14:paraId="23065E91">
      <w:pPr>
        <w:ind w:firstLine="300" w:firstLineChars="200"/>
        <w:jc w:val="both"/>
        <w:rPr>
          <w:rFonts w:hint="default" w:ascii="黑体" w:hAnsi="黑体" w:eastAsia="黑体" w:cs="黑体"/>
          <w:b w:val="0"/>
          <w:bCs w:val="0"/>
          <w:sz w:val="15"/>
          <w:szCs w:val="15"/>
          <w:lang w:val="en-US" w:eastAsia="zh-CN"/>
        </w:rPr>
      </w:pPr>
    </w:p>
    <w:p w14:paraId="73DCD9CF">
      <w:pPr>
        <w:ind w:firstLine="300" w:firstLineChars="200"/>
        <w:jc w:val="both"/>
        <w:rPr>
          <w:rFonts w:hint="default" w:ascii="黑体" w:hAnsi="黑体" w:eastAsia="黑体" w:cs="黑体"/>
          <w:b w:val="0"/>
          <w:bCs w:val="0"/>
          <w:sz w:val="15"/>
          <w:szCs w:val="15"/>
          <w:lang w:val="en-US" w:eastAsia="zh-CN"/>
        </w:rPr>
      </w:pPr>
    </w:p>
    <w:p w14:paraId="6F42406D">
      <w:pPr>
        <w:ind w:firstLine="300" w:firstLineChars="200"/>
        <w:jc w:val="both"/>
        <w:rPr>
          <w:rFonts w:hint="default" w:ascii="黑体" w:hAnsi="黑体" w:eastAsia="黑体" w:cs="黑体"/>
          <w:b w:val="0"/>
          <w:bCs w:val="0"/>
          <w:sz w:val="15"/>
          <w:szCs w:val="15"/>
          <w:lang w:val="en-US" w:eastAsia="zh-CN"/>
        </w:rPr>
      </w:pPr>
    </w:p>
    <w:p w14:paraId="7D72A9DB">
      <w:pPr>
        <w:ind w:firstLine="300" w:firstLineChars="200"/>
        <w:jc w:val="both"/>
        <w:rPr>
          <w:rFonts w:hint="default" w:ascii="黑体" w:hAnsi="黑体" w:eastAsia="黑体" w:cs="黑体"/>
          <w:b w:val="0"/>
          <w:bCs w:val="0"/>
          <w:sz w:val="15"/>
          <w:szCs w:val="15"/>
          <w:lang w:val="en-US" w:eastAsia="zh-CN"/>
        </w:rPr>
      </w:pPr>
    </w:p>
    <w:p w14:paraId="7D82FE3F">
      <w:pPr>
        <w:ind w:firstLine="300" w:firstLineChars="200"/>
        <w:jc w:val="both"/>
        <w:rPr>
          <w:rFonts w:hint="default" w:ascii="黑体" w:hAnsi="黑体" w:eastAsia="黑体" w:cs="黑体"/>
          <w:b w:val="0"/>
          <w:bCs w:val="0"/>
          <w:sz w:val="15"/>
          <w:szCs w:val="15"/>
          <w:lang w:val="en-US" w:eastAsia="zh-CN"/>
        </w:rPr>
      </w:pPr>
    </w:p>
    <w:p w14:paraId="4820461C">
      <w:pPr>
        <w:ind w:firstLine="300" w:firstLineChars="200"/>
        <w:jc w:val="both"/>
        <w:rPr>
          <w:rFonts w:hint="default" w:ascii="黑体" w:hAnsi="黑体" w:eastAsia="黑体" w:cs="黑体"/>
          <w:b w:val="0"/>
          <w:bCs w:val="0"/>
          <w:sz w:val="15"/>
          <w:szCs w:val="15"/>
          <w:lang w:val="en-US" w:eastAsia="zh-CN"/>
        </w:rPr>
      </w:pPr>
    </w:p>
    <w:p w14:paraId="61BA4CC3">
      <w:pPr>
        <w:ind w:firstLine="300" w:firstLineChars="200"/>
        <w:jc w:val="both"/>
        <w:rPr>
          <w:rFonts w:hint="default" w:ascii="黑体" w:hAnsi="黑体" w:eastAsia="黑体" w:cs="黑体"/>
          <w:b w:val="0"/>
          <w:bCs w:val="0"/>
          <w:sz w:val="15"/>
          <w:szCs w:val="15"/>
          <w:lang w:val="en-US" w:eastAsia="zh-CN"/>
        </w:rPr>
      </w:pPr>
    </w:p>
    <w:p w14:paraId="1D36BD46">
      <w:pPr>
        <w:ind w:firstLine="300" w:firstLineChars="200"/>
        <w:jc w:val="both"/>
        <w:rPr>
          <w:rFonts w:hint="default" w:ascii="黑体" w:hAnsi="黑体" w:eastAsia="黑体" w:cs="黑体"/>
          <w:b w:val="0"/>
          <w:bCs w:val="0"/>
          <w:sz w:val="15"/>
          <w:szCs w:val="15"/>
          <w:lang w:val="en-US" w:eastAsia="zh-CN"/>
        </w:rPr>
      </w:pPr>
    </w:p>
    <w:p w14:paraId="3AEDD14B">
      <w:pPr>
        <w:ind w:firstLine="300" w:firstLineChars="200"/>
        <w:jc w:val="both"/>
        <w:rPr>
          <w:rFonts w:hint="default" w:ascii="黑体" w:hAnsi="黑体" w:eastAsia="黑体" w:cs="黑体"/>
          <w:b w:val="0"/>
          <w:bCs w:val="0"/>
          <w:sz w:val="15"/>
          <w:szCs w:val="15"/>
          <w:lang w:val="en-US" w:eastAsia="zh-CN"/>
        </w:rPr>
      </w:pPr>
    </w:p>
    <w:p w14:paraId="0469B209">
      <w:pPr>
        <w:ind w:firstLine="300" w:firstLineChars="200"/>
        <w:jc w:val="both"/>
        <w:rPr>
          <w:rFonts w:hint="default" w:ascii="黑体" w:hAnsi="黑体" w:eastAsia="黑体" w:cs="黑体"/>
          <w:b w:val="0"/>
          <w:bCs w:val="0"/>
          <w:sz w:val="15"/>
          <w:szCs w:val="15"/>
          <w:lang w:val="en-US" w:eastAsia="zh-CN"/>
        </w:rPr>
      </w:pPr>
    </w:p>
    <w:p w14:paraId="29EC6394">
      <w:pPr>
        <w:jc w:val="center"/>
        <w:rPr>
          <w:rFonts w:hint="default" w:ascii="黑体" w:hAnsi="黑体" w:eastAsia="黑体" w:cs="黑体"/>
          <w:b/>
          <w:bCs/>
          <w:sz w:val="28"/>
          <w:szCs w:val="28"/>
          <w:lang w:val="en-US" w:eastAsia="zh-CN"/>
        </w:rPr>
      </w:pPr>
      <w:r>
        <w:rPr>
          <w:rFonts w:hint="eastAsia" w:ascii="黑体" w:hAnsi="黑体" w:eastAsia="黑体" w:cs="黑体"/>
          <w:b/>
          <w:bCs/>
          <w:sz w:val="28"/>
          <w:szCs w:val="28"/>
          <w:u w:val="single"/>
          <w:lang w:val="en-US" w:eastAsia="zh-CN"/>
        </w:rPr>
        <w:t>利用熔岩管道建设月球农场的初步构想</w:t>
      </w:r>
      <w:r>
        <w:rPr>
          <w:rFonts w:hint="eastAsia" w:ascii="黑体" w:hAnsi="黑体" w:eastAsia="黑体" w:cs="黑体"/>
          <w:b/>
          <w:bCs/>
          <w:sz w:val="28"/>
          <w:szCs w:val="28"/>
          <w:lang w:val="en-US" w:eastAsia="zh-CN"/>
        </w:rPr>
        <w:t>阅读报告</w:t>
      </w:r>
    </w:p>
    <w:p w14:paraId="1B3E30FA">
      <w:pPr>
        <w:jc w:val="center"/>
        <w:rPr>
          <w:rFonts w:hint="eastAsia" w:ascii="微软雅黑" w:hAnsi="微软雅黑" w:eastAsia="微软雅黑" w:cs="微软雅黑"/>
          <w:b w:val="0"/>
          <w:bCs w:val="0"/>
          <w:i w:val="0"/>
          <w:iCs w:val="0"/>
          <w:caps w:val="0"/>
          <w:color w:val="666666"/>
          <w:spacing w:val="0"/>
          <w:sz w:val="13"/>
          <w:szCs w:val="13"/>
          <w:shd w:val="clear" w:fill="FFFFFF"/>
          <w:lang w:val="en-US" w:eastAsia="zh-CN"/>
        </w:rPr>
      </w:pPr>
      <w:r>
        <w:rPr>
          <w:rFonts w:hint="eastAsia" w:ascii="微软雅黑" w:hAnsi="微软雅黑" w:eastAsia="微软雅黑" w:cs="微软雅黑"/>
          <w:b w:val="0"/>
          <w:bCs w:val="0"/>
          <w:i w:val="0"/>
          <w:iCs w:val="0"/>
          <w:caps w:val="0"/>
          <w:color w:val="666666"/>
          <w:spacing w:val="0"/>
          <w:sz w:val="13"/>
          <w:szCs w:val="13"/>
          <w:shd w:val="clear" w:fill="FFFFFF"/>
          <w:lang w:eastAsia="zh-CN"/>
        </w:rPr>
        <w:t>（</w:t>
      </w:r>
      <w:r>
        <w:rPr>
          <w:rFonts w:ascii="微软雅黑" w:hAnsi="微软雅黑" w:eastAsia="微软雅黑" w:cs="微软雅黑"/>
          <w:i w:val="0"/>
          <w:iCs w:val="0"/>
          <w:caps w:val="0"/>
          <w:color w:val="666666"/>
          <w:spacing w:val="0"/>
          <w:sz w:val="13"/>
          <w:szCs w:val="13"/>
          <w:shd w:val="clear" w:fill="FFFFFF"/>
        </w:rPr>
        <w:t>谢更新,韩娅,晏铭,等.利用熔岩管道建设月球农场的初步构想[J].深空探测学报(中英文),2023,10(5):512-524.DOI:10.15982/j.issn.2096-9287.2023.20220060.</w:t>
      </w:r>
      <w:r>
        <w:rPr>
          <w:rFonts w:hint="eastAsia" w:ascii="微软雅黑" w:hAnsi="微软雅黑" w:eastAsia="微软雅黑" w:cs="微软雅黑"/>
          <w:b w:val="0"/>
          <w:bCs w:val="0"/>
          <w:i w:val="0"/>
          <w:iCs w:val="0"/>
          <w:caps w:val="0"/>
          <w:color w:val="666666"/>
          <w:spacing w:val="0"/>
          <w:sz w:val="13"/>
          <w:szCs w:val="13"/>
          <w:shd w:val="clear" w:fill="FFFFFF"/>
          <w:lang w:eastAsia="zh-CN"/>
        </w:rPr>
        <w:t>）</w:t>
      </w:r>
    </w:p>
    <w:p w14:paraId="1ACEAD53">
      <w:pPr>
        <w:jc w:val="both"/>
        <w:rPr>
          <w:rFonts w:hint="eastAsia" w:ascii="黑体" w:hAnsi="黑体" w:eastAsia="黑体" w:cs="黑体"/>
          <w:b/>
          <w:bCs/>
          <w:sz w:val="21"/>
          <w:szCs w:val="21"/>
          <w:lang w:val="en-US" w:eastAsia="zh-CN"/>
        </w:rPr>
      </w:pPr>
      <w:r>
        <w:rPr>
          <w:rFonts w:hint="eastAsia" w:ascii="黑体" w:hAnsi="黑体" w:eastAsia="黑体" w:cs="黑体"/>
          <w:b/>
          <w:bCs/>
          <w:color w:val="7030A0"/>
          <w:sz w:val="21"/>
          <w:szCs w:val="21"/>
          <w:lang w:val="en-US" w:eastAsia="zh-CN"/>
        </w:rPr>
        <w:t>文献信息</w:t>
      </w:r>
      <w:r>
        <w:rPr>
          <w:rFonts w:hint="eastAsia" w:ascii="黑体" w:hAnsi="黑体" w:eastAsia="黑体" w:cs="黑体"/>
          <w:b/>
          <w:bCs/>
          <w:sz w:val="21"/>
          <w:szCs w:val="21"/>
          <w:lang w:val="en-US" w:eastAsia="zh-CN"/>
        </w:rPr>
        <w:t>：</w:t>
      </w:r>
    </w:p>
    <w:p w14:paraId="1682A364">
      <w:pPr>
        <w:jc w:val="both"/>
        <w:rPr>
          <w:rFonts w:hint="eastAsia" w:ascii="黑体" w:hAnsi="黑体" w:eastAsia="黑体" w:cs="黑体"/>
          <w:b w:val="0"/>
          <w:bCs w:val="0"/>
          <w:sz w:val="15"/>
          <w:szCs w:val="15"/>
          <w:lang w:val="en-US" w:eastAsia="zh-CN"/>
        </w:rPr>
      </w:pPr>
      <w:r>
        <w:rPr>
          <w:rFonts w:hint="eastAsia" w:ascii="黑体" w:hAnsi="黑体" w:eastAsia="黑体" w:cs="黑体"/>
          <w:b/>
          <w:bCs/>
          <w:sz w:val="18"/>
          <w:szCs w:val="18"/>
          <w:lang w:val="en-US" w:eastAsia="zh-CN"/>
        </w:rPr>
        <w:t>摘要</w:t>
      </w:r>
      <w:r>
        <w:rPr>
          <w:rFonts w:hint="eastAsia" w:ascii="黑体" w:hAnsi="黑体" w:eastAsia="黑体" w:cs="黑体"/>
          <w:b w:val="0"/>
          <w:bCs w:val="0"/>
          <w:sz w:val="15"/>
          <w:szCs w:val="15"/>
          <w:lang w:val="en-US" w:eastAsia="zh-CN"/>
        </w:rPr>
        <w:t>：总结了月球熔岩管道的天然优势和地外农场的研究进展，概括了月球农场建立所涉及的原位资源利用关键技术，梳理了利用熔岩管道建设月球农场的基本思路，并提出了基于月球熔岩管道的月球农场布局规划，总结了月球农场建设所面临的科学难题，为利用熔岩管道建设月球农场的研究提供参考。</w:t>
      </w:r>
    </w:p>
    <w:p w14:paraId="3A0BD7D9">
      <w:pPr>
        <w:jc w:val="both"/>
        <w:rPr>
          <w:rFonts w:hint="eastAsia" w:ascii="黑体" w:hAnsi="黑体" w:eastAsia="黑体" w:cs="黑体"/>
          <w:b w:val="0"/>
          <w:bCs w:val="0"/>
          <w:sz w:val="15"/>
          <w:szCs w:val="15"/>
          <w:lang w:val="en-US" w:eastAsia="zh-CN"/>
        </w:rPr>
      </w:pPr>
      <w:r>
        <w:rPr>
          <w:rFonts w:hint="eastAsia" w:ascii="黑体" w:hAnsi="黑体" w:eastAsia="黑体" w:cs="黑体"/>
          <w:b/>
          <w:bCs/>
          <w:sz w:val="18"/>
          <w:szCs w:val="18"/>
          <w:lang w:val="en-US" w:eastAsia="zh-CN"/>
        </w:rPr>
        <w:t>关键词：</w:t>
      </w:r>
      <w:r>
        <w:rPr>
          <w:rFonts w:hint="eastAsia" w:ascii="黑体" w:hAnsi="黑体" w:eastAsia="黑体" w:cs="黑体"/>
          <w:b w:val="0"/>
          <w:bCs w:val="0"/>
          <w:sz w:val="15"/>
          <w:szCs w:val="15"/>
          <w:lang w:val="en-US" w:eastAsia="zh-CN"/>
        </w:rPr>
        <w:t>月球农场；月球熔岩管道；月球资源原位利用</w:t>
      </w:r>
    </w:p>
    <w:p w14:paraId="26DB6921">
      <w:pPr>
        <w:jc w:val="both"/>
        <w:rPr>
          <w:rFonts w:hint="eastAsia" w:ascii="黑体" w:hAnsi="黑体" w:eastAsia="黑体" w:cs="黑体"/>
          <w:b w:val="0"/>
          <w:bCs w:val="0"/>
          <w:sz w:val="15"/>
          <w:szCs w:val="15"/>
          <w:lang w:val="en-US" w:eastAsia="zh-CN"/>
        </w:rPr>
      </w:pPr>
    </w:p>
    <w:p w14:paraId="66D8C418">
      <w:pPr>
        <w:jc w:val="both"/>
        <w:rPr>
          <w:rFonts w:hint="eastAsia" w:ascii="黑体" w:hAnsi="黑体" w:eastAsia="黑体" w:cs="黑体"/>
          <w:b/>
          <w:bCs/>
          <w:color w:val="7030A0"/>
          <w:sz w:val="21"/>
          <w:szCs w:val="21"/>
          <w:lang w:val="en-US" w:eastAsia="zh-CN"/>
        </w:rPr>
      </w:pPr>
      <w:r>
        <w:rPr>
          <w:rFonts w:hint="eastAsia" w:ascii="黑体" w:hAnsi="黑体" w:eastAsia="黑体" w:cs="黑体"/>
          <w:b/>
          <w:bCs/>
          <w:color w:val="7030A0"/>
          <w:sz w:val="21"/>
          <w:szCs w:val="21"/>
          <w:lang w:val="en-US" w:eastAsia="zh-CN"/>
        </w:rPr>
        <w:t>核心观点摘要：</w:t>
      </w:r>
    </w:p>
    <w:p w14:paraId="6EB221D3">
      <w:pPr>
        <w:ind w:firstLine="300"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月球熔岩管道是早期月球火山运动形成的一种中空管道式洞穴，在顶部深厚岩石和月壤的保护下，管道内部温差小、辐射剂量低、陨石撞击几率低。通过对比月球表面和月球熔岩管道的环境（见表1），可以发现月球熔岩管道内昼夜温差远远低于月球表面，宇宙射线粒子的辐射强度与地球表面接近，受到陨石撞击造成的损害更小。此外，相比直接在月球表面修建月球农场，在月球熔岩管道中修建月球农场更加节省建筑材料，维持月球农场运行所消耗的能源更少。因此，月球极区的熔岩管道是建设月球农场的理想选择。</w:t>
      </w:r>
    </w:p>
    <w:p w14:paraId="234F29FD">
      <w:pPr>
        <w:jc w:val="both"/>
        <w:rPr>
          <w:rFonts w:hint="eastAsia" w:ascii="黑体" w:hAnsi="黑体" w:eastAsia="黑体" w:cs="黑体"/>
          <w:b/>
          <w:bCs/>
          <w:color w:val="7030A0"/>
          <w:sz w:val="21"/>
          <w:szCs w:val="21"/>
          <w:lang w:val="en-US" w:eastAsia="zh-CN"/>
        </w:rPr>
      </w:pPr>
      <w:r>
        <w:rPr>
          <w:rFonts w:hint="eastAsia" w:ascii="黑体" w:hAnsi="黑体" w:eastAsia="黑体" w:cs="黑体"/>
          <w:b/>
          <w:bCs/>
          <w:color w:val="7030A0"/>
          <w:sz w:val="21"/>
          <w:szCs w:val="21"/>
          <w:lang w:val="en-US" w:eastAsia="zh-CN"/>
        </w:rPr>
        <w:drawing>
          <wp:inline distT="0" distB="0" distL="114300" distR="114300">
            <wp:extent cx="2701290" cy="1365885"/>
            <wp:effectExtent l="0" t="0" r="1270" b="9525"/>
            <wp:docPr id="2" name="图片 2" descr="7afc7581b9ee576e70ae249bcc186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afc7581b9ee576e70ae249bcc186db7"/>
                    <pic:cNvPicPr>
                      <a:picLocks noChangeAspect="1"/>
                    </pic:cNvPicPr>
                  </pic:nvPicPr>
                  <pic:blipFill>
                    <a:blip r:embed="rId5"/>
                    <a:stretch>
                      <a:fillRect/>
                    </a:stretch>
                  </pic:blipFill>
                  <pic:spPr>
                    <a:xfrm>
                      <a:off x="0" y="0"/>
                      <a:ext cx="2701290" cy="1365885"/>
                    </a:xfrm>
                    <a:prstGeom prst="rect">
                      <a:avLst/>
                    </a:prstGeom>
                  </pic:spPr>
                </pic:pic>
              </a:graphicData>
            </a:graphic>
          </wp:inline>
        </w:drawing>
      </w:r>
      <w:r>
        <w:rPr>
          <w:rFonts w:hint="eastAsia" w:ascii="黑体" w:hAnsi="黑体" w:eastAsia="黑体" w:cs="黑体"/>
          <w:b/>
          <w:bCs/>
          <w:color w:val="7030A0"/>
          <w:sz w:val="21"/>
          <w:szCs w:val="21"/>
          <w:lang w:val="en-US" w:eastAsia="zh-CN"/>
        </w:rPr>
        <w:t xml:space="preserve">      </w:t>
      </w:r>
      <w:r>
        <w:rPr>
          <w:rFonts w:hint="eastAsia" w:ascii="黑体" w:hAnsi="黑体" w:eastAsia="黑体" w:cs="黑体"/>
          <w:b/>
          <w:bCs/>
          <w:color w:val="7030A0"/>
          <w:sz w:val="21"/>
          <w:szCs w:val="21"/>
          <w:lang w:val="en-US" w:eastAsia="zh-CN"/>
        </w:rPr>
        <w:drawing>
          <wp:inline distT="0" distB="0" distL="114300" distR="114300">
            <wp:extent cx="1946275" cy="1374775"/>
            <wp:effectExtent l="0" t="0" r="8255" b="635"/>
            <wp:docPr id="4" name="图片 4" descr="0e70ac996635d3acd2135c8a493e6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e70ac996635d3acd2135c8a493e6c02"/>
                    <pic:cNvPicPr>
                      <a:picLocks noChangeAspect="1"/>
                    </pic:cNvPicPr>
                  </pic:nvPicPr>
                  <pic:blipFill>
                    <a:blip r:embed="rId6"/>
                    <a:stretch>
                      <a:fillRect/>
                    </a:stretch>
                  </pic:blipFill>
                  <pic:spPr>
                    <a:xfrm>
                      <a:off x="0" y="0"/>
                      <a:ext cx="1946275" cy="1374775"/>
                    </a:xfrm>
                    <a:prstGeom prst="rect">
                      <a:avLst/>
                    </a:prstGeom>
                  </pic:spPr>
                </pic:pic>
              </a:graphicData>
            </a:graphic>
          </wp:inline>
        </w:drawing>
      </w:r>
    </w:p>
    <w:p w14:paraId="22F78E1C">
      <w:pPr>
        <w:jc w:val="both"/>
        <w:rPr>
          <w:rFonts w:hint="default" w:ascii="黑体" w:hAnsi="黑体" w:eastAsia="黑体" w:cs="黑体"/>
          <w:b w:val="0"/>
          <w:bCs w:val="0"/>
          <w:sz w:val="15"/>
          <w:szCs w:val="15"/>
          <w:lang w:val="en-US" w:eastAsia="zh-CN"/>
        </w:rPr>
      </w:pPr>
      <w:r>
        <w:rPr>
          <w:rFonts w:hint="eastAsia" w:ascii="黑体" w:hAnsi="黑体" w:eastAsia="黑体" w:cs="黑体"/>
          <w:b/>
          <w:bCs/>
          <w:color w:val="7030A0"/>
          <w:sz w:val="21"/>
          <w:szCs w:val="21"/>
          <w:lang w:val="en-US" w:eastAsia="zh-CN"/>
        </w:rPr>
        <w:t xml:space="preserve">   </w:t>
      </w:r>
      <w:r>
        <w:rPr>
          <w:rFonts w:hint="eastAsia" w:ascii="黑体" w:hAnsi="黑体" w:eastAsia="黑体" w:cs="黑体"/>
          <w:b w:val="0"/>
          <w:bCs w:val="0"/>
          <w:sz w:val="15"/>
          <w:szCs w:val="15"/>
          <w:lang w:val="en-US" w:eastAsia="zh-CN"/>
        </w:rPr>
        <w:t>月面资源中，月壤是最容易获得的原位资源，是未来人类建造月球农场和月球基地的重要原料。月壤原位利用技术包括利用月壤进行氧气制备、推进剂制备、月壤冶金、半导体制备、原位制造及基础建设等方面。未经处理的月壤主要用于建筑表面覆土，可以维持温度、屏蔽辐射和抵抗陨石冲击。此外，月壤在微波、煅烧及激光束作用下会熔融成固体块材，可作为月球农场建筑材料；或通过混凝粘结技术和月壤原位增材制造（3D打印）技术，在月球表面利用月壤原位制备建筑结构材料；Hobosyan等提出了一种利用铝（镁）–聚四氟乙烯系统通过活化铝热反应固结月球表土的新方法，以生产作为月球建筑的优质陶瓷材料；Wilhelm等利用增强干混/蒸汽注入方法来生产月球混凝土。</w:t>
      </w:r>
    </w:p>
    <w:p w14:paraId="4A7FE44F">
      <w:pPr>
        <w:jc w:val="both"/>
        <w:rPr>
          <w:rFonts w:hint="eastAsia" w:ascii="黑体" w:hAnsi="黑体" w:eastAsia="黑体" w:cs="黑体"/>
          <w:b/>
          <w:bCs/>
          <w:color w:val="7030A0"/>
          <w:sz w:val="21"/>
          <w:szCs w:val="21"/>
          <w:lang w:val="en-US" w:eastAsia="zh-CN"/>
        </w:rPr>
      </w:pPr>
    </w:p>
    <w:p w14:paraId="5494DB42">
      <w:pPr>
        <w:jc w:val="both"/>
        <w:rPr>
          <w:rFonts w:hint="eastAsia" w:ascii="黑体" w:hAnsi="黑体" w:eastAsia="黑体" w:cs="黑体"/>
          <w:b w:val="0"/>
          <w:bCs w:val="0"/>
          <w:sz w:val="15"/>
          <w:szCs w:val="15"/>
          <w:lang w:val="en-US" w:eastAsia="zh-CN"/>
        </w:rPr>
      </w:pPr>
      <w:r>
        <w:rPr>
          <w:rFonts w:hint="eastAsia" w:ascii="黑体" w:hAnsi="黑体" w:eastAsia="黑体" w:cs="黑体"/>
          <w:b/>
          <w:bCs/>
          <w:color w:val="7030A0"/>
          <w:sz w:val="21"/>
          <w:szCs w:val="21"/>
          <w:lang w:val="en-US" w:eastAsia="zh-CN"/>
        </w:rPr>
        <w:t>对项目的启发：</w:t>
      </w:r>
    </w:p>
    <w:p w14:paraId="4153666F">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该文献对本次研究的意义在于从"基地/生存环境"层面进一步巩固了我们开展熔岩管通信研究的前提。它明确指出月球熔岩管道"内部温差小、辐射剂量低、陨石撞击几率低"，是"建设月球农场的理想选择"。</w:t>
      </w:r>
    </w:p>
    <w:p w14:paraId="42527CB8">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这对我们的项目有两层直接启发：</w:t>
      </w:r>
    </w:p>
    <w:p w14:paraId="622E9169">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其一，熔岩管内如此稳定的小气候（昼夜温差远低于月表、辐射接近地表水平，见文中表1的对比），意味着我们通信节点的电子器件与电池不会因极端温差和强辐射而快速老化，节点可靠性相对较好——这印证了我们将"能量消耗（SoC）"而非"热失效/辐射损坏"作为节点动态约束的主要变量，并据此设计能量状态机的合理性。</w:t>
      </w:r>
    </w:p>
    <w:p w14:paraId="3E15B15F">
      <w:pPr>
        <w:ind w:firstLine="300" w:firstLineChars="200"/>
        <w:jc w:val="both"/>
        <w:rPr>
          <w:rFonts w:hint="eastAsia"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其二，文中强调的月壤原位利用技术（氧气制备、冶金、3D打印固结、铝（镁）–聚四氟乙烯体系固结月表土等）提示我们，熔岩管内的基地建设会形成一个天然的"人类活动/设备聚集中心"。这个中心正是我们通信网络需要回馈数据的汇聚点（sink），也是"地球可见窗口"和长期联络站的所在——它让我们明确了网络数据的最终去向，支撑了存储-携带-转发向一个固定回传点靠拢的设计。文中"月球极区的熔岩管道是建设月球农场的理想选择"这一结论，也提醒我们在规划节点部署与域划分时，应将熔岩管的整体布局（极区选址、多腔室结构）一并纳入考虑。整体而言，本文更多是提供物理与工程背景，但它关于熔岩管环境稳定性与基地中心性的论述，为我们的去中心化网络给出了"为什么在这个管子里、数据往哪里送"的明确答案。</w:t>
      </w:r>
    </w:p>
    <w:p w14:paraId="50BF707A">
      <w:pPr>
        <w:jc w:val="both"/>
        <w:rPr>
          <w:rFonts w:hint="default" w:ascii="黑体" w:hAnsi="黑体" w:eastAsia="黑体" w:cs="黑体"/>
          <w:b w:val="0"/>
          <w:bCs w:val="0"/>
          <w:sz w:val="15"/>
          <w:szCs w:val="15"/>
          <w:lang w:val="en-US" w:eastAsia="zh-CN"/>
        </w:rPr>
      </w:pPr>
    </w:p>
    <w:p w14:paraId="07F8850F">
      <w:pPr>
        <w:jc w:val="center"/>
        <w:rPr>
          <w:rFonts w:hint="eastAsia" w:ascii="黑体" w:hAnsi="黑体" w:eastAsia="黑体" w:cs="黑体"/>
          <w:b/>
          <w:bCs/>
          <w:sz w:val="28"/>
          <w:szCs w:val="28"/>
          <w:u w:val="single"/>
          <w:lang w:val="en-US" w:eastAsia="zh-CN"/>
        </w:rPr>
      </w:pPr>
      <w:r>
        <w:rPr>
          <w:rFonts w:hint="eastAsia" w:ascii="黑体" w:hAnsi="黑体" w:eastAsia="黑体" w:cs="黑体"/>
          <w:b/>
          <w:bCs/>
          <w:sz w:val="28"/>
          <w:szCs w:val="28"/>
          <w:u w:val="single"/>
          <w:lang w:val="en-US" w:eastAsia="zh-CN"/>
        </w:rPr>
        <w:t>面向月球探测多机器人通信系统的Ad_hoc路由协议优化设计</w:t>
      </w:r>
    </w:p>
    <w:p w14:paraId="78DEDCA9">
      <w:pPr>
        <w:jc w:val="center"/>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阅读报告</w:t>
      </w:r>
    </w:p>
    <w:p w14:paraId="5C3DFE44">
      <w:pPr>
        <w:jc w:val="center"/>
        <w:rPr>
          <w:rFonts w:hint="eastAsia" w:ascii="微软雅黑" w:hAnsi="微软雅黑" w:eastAsia="微软雅黑" w:cs="微软雅黑"/>
          <w:b w:val="0"/>
          <w:bCs w:val="0"/>
          <w:i w:val="0"/>
          <w:iCs w:val="0"/>
          <w:caps w:val="0"/>
          <w:color w:val="666666"/>
          <w:spacing w:val="0"/>
          <w:sz w:val="13"/>
          <w:szCs w:val="13"/>
          <w:shd w:val="clear" w:fill="FFFFFF"/>
          <w:lang w:val="en-US" w:eastAsia="zh-CN"/>
        </w:rPr>
      </w:pPr>
      <w:r>
        <w:rPr>
          <w:rFonts w:hint="eastAsia" w:ascii="微软雅黑" w:hAnsi="微软雅黑" w:eastAsia="微软雅黑" w:cs="微软雅黑"/>
          <w:b w:val="0"/>
          <w:bCs w:val="0"/>
          <w:i w:val="0"/>
          <w:iCs w:val="0"/>
          <w:caps w:val="0"/>
          <w:color w:val="666666"/>
          <w:spacing w:val="0"/>
          <w:sz w:val="13"/>
          <w:szCs w:val="13"/>
          <w:shd w:val="clear" w:fill="FFFFFF"/>
          <w:lang w:eastAsia="zh-CN"/>
        </w:rPr>
        <w:t>（</w:t>
      </w:r>
      <w:r>
        <w:rPr>
          <w:rFonts w:ascii="微软雅黑" w:hAnsi="微软雅黑" w:eastAsia="微软雅黑" w:cs="微软雅黑"/>
          <w:i w:val="0"/>
          <w:iCs w:val="0"/>
          <w:caps w:val="0"/>
          <w:color w:val="666666"/>
          <w:spacing w:val="0"/>
          <w:sz w:val="13"/>
          <w:szCs w:val="13"/>
          <w:shd w:val="clear" w:fill="FFFFFF"/>
        </w:rPr>
        <w:t>路艳玲,秦世引.面向月球探测多机器人通信系统的Ad hoc路由协议优化设计[J].科技导报,2009,27(19):42-46.</w:t>
      </w:r>
      <w:r>
        <w:rPr>
          <w:rFonts w:hint="eastAsia" w:ascii="微软雅黑" w:hAnsi="微软雅黑" w:eastAsia="微软雅黑" w:cs="微软雅黑"/>
          <w:b w:val="0"/>
          <w:bCs w:val="0"/>
          <w:i w:val="0"/>
          <w:iCs w:val="0"/>
          <w:caps w:val="0"/>
          <w:color w:val="666666"/>
          <w:spacing w:val="0"/>
          <w:sz w:val="13"/>
          <w:szCs w:val="13"/>
          <w:shd w:val="clear" w:fill="FFFFFF"/>
          <w:lang w:eastAsia="zh-CN"/>
        </w:rPr>
        <w:t>）</w:t>
      </w:r>
    </w:p>
    <w:p w14:paraId="185D582F">
      <w:pPr>
        <w:jc w:val="both"/>
        <w:rPr>
          <w:rFonts w:hint="eastAsia" w:ascii="黑体" w:hAnsi="黑体" w:eastAsia="黑体" w:cs="黑体"/>
          <w:b/>
          <w:bCs/>
          <w:sz w:val="21"/>
          <w:szCs w:val="21"/>
          <w:lang w:val="en-US" w:eastAsia="zh-CN"/>
        </w:rPr>
      </w:pPr>
      <w:r>
        <w:rPr>
          <w:rFonts w:hint="eastAsia" w:ascii="黑体" w:hAnsi="黑体" w:eastAsia="黑体" w:cs="黑体"/>
          <w:b/>
          <w:bCs/>
          <w:color w:val="7030A0"/>
          <w:sz w:val="21"/>
          <w:szCs w:val="21"/>
          <w:lang w:val="en-US" w:eastAsia="zh-CN"/>
        </w:rPr>
        <w:t>文献信息</w:t>
      </w:r>
      <w:r>
        <w:rPr>
          <w:rFonts w:hint="eastAsia" w:ascii="黑体" w:hAnsi="黑体" w:eastAsia="黑体" w:cs="黑体"/>
          <w:b/>
          <w:bCs/>
          <w:sz w:val="21"/>
          <w:szCs w:val="21"/>
          <w:lang w:val="en-US" w:eastAsia="zh-CN"/>
        </w:rPr>
        <w:t>：</w:t>
      </w:r>
    </w:p>
    <w:p w14:paraId="0917F428">
      <w:pPr>
        <w:jc w:val="both"/>
        <w:rPr>
          <w:rFonts w:hint="eastAsia" w:ascii="黑体" w:hAnsi="黑体" w:eastAsia="黑体" w:cs="黑体"/>
          <w:b w:val="0"/>
          <w:bCs w:val="0"/>
          <w:sz w:val="15"/>
          <w:szCs w:val="15"/>
          <w:lang w:val="en-US" w:eastAsia="zh-CN"/>
        </w:rPr>
      </w:pPr>
      <w:r>
        <w:rPr>
          <w:rFonts w:hint="eastAsia" w:ascii="黑体" w:hAnsi="黑体" w:eastAsia="黑体" w:cs="黑体"/>
          <w:b/>
          <w:bCs/>
          <w:sz w:val="18"/>
          <w:szCs w:val="18"/>
          <w:lang w:val="en-US" w:eastAsia="zh-CN"/>
        </w:rPr>
        <w:t>摘要</w:t>
      </w:r>
      <w:r>
        <w:rPr>
          <w:rFonts w:hint="eastAsia" w:ascii="黑体" w:hAnsi="黑体" w:eastAsia="黑体" w:cs="黑体"/>
          <w:b w:val="0"/>
          <w:bCs w:val="0"/>
          <w:sz w:val="15"/>
          <w:szCs w:val="15"/>
          <w:lang w:val="en-US" w:eastAsia="zh-CN"/>
        </w:rPr>
        <w:t>：Ad hoc 网络作为一种不依赖于任何固定设施的临时性多跳自治系统 ， 是解决月球探测过程中多机器人通信问题的可行选择。由于月球探测多机器人通信系统对节能和实时性等方面的特殊要求，现有的 Ad hoc 网络路由协议还难以满足工程设计和实际应用的需求。因而，结合月球探测环境下的实际工程需要，对现有的Ad hoc网络路由协议进行优化设计就成为关键。在分析月球探测多机器人通信系统拓扑结构的基础上，给出了系统中各节点的能量消耗模型；进而，建立了路径寻优的数学模型，在动态源路由协议DSR的基础上设计了一种基于能量约束的 Ad hoc 网络路由协议。 该协议综合考虑了通信系统对于节能和实时性两方面的需求，将路由跳数、路由传送功率、节点剩余电池能量作为路由度量，采用改进的离散 Bellman-Ford 算法进行最优路径的求解。 仿真实验结果表明，该协议在保证通信系统实时性的前提下，可延长网络生存时间，能为月球探测多机器人系统提供更可靠的通信保障。</w:t>
      </w:r>
    </w:p>
    <w:p w14:paraId="6F5DC97A">
      <w:pPr>
        <w:jc w:val="both"/>
        <w:rPr>
          <w:rFonts w:hint="eastAsia" w:ascii="黑体" w:hAnsi="黑体" w:eastAsia="黑体" w:cs="黑体"/>
          <w:b w:val="0"/>
          <w:bCs w:val="0"/>
          <w:sz w:val="15"/>
          <w:szCs w:val="15"/>
          <w:lang w:val="en-US" w:eastAsia="zh-CN"/>
        </w:rPr>
      </w:pPr>
      <w:r>
        <w:rPr>
          <w:rFonts w:hint="eastAsia" w:ascii="黑体" w:hAnsi="黑体" w:eastAsia="黑体" w:cs="黑体"/>
          <w:b/>
          <w:bCs/>
          <w:sz w:val="18"/>
          <w:szCs w:val="18"/>
          <w:lang w:val="en-US" w:eastAsia="zh-CN"/>
        </w:rPr>
        <w:t>关键词：</w:t>
      </w:r>
      <w:r>
        <w:rPr>
          <w:rFonts w:hint="eastAsia" w:ascii="黑体" w:hAnsi="黑体" w:eastAsia="黑体" w:cs="黑体"/>
          <w:b w:val="0"/>
          <w:bCs w:val="0"/>
          <w:sz w:val="15"/>
          <w:szCs w:val="15"/>
          <w:lang w:val="en-US" w:eastAsia="zh-CN"/>
        </w:rPr>
        <w:t>Ad hoc 网络；月球探测多机器人系统；能量消耗模型；路由协议</w:t>
      </w:r>
    </w:p>
    <w:p w14:paraId="134C1219">
      <w:pPr>
        <w:jc w:val="both"/>
        <w:rPr>
          <w:rFonts w:hint="eastAsia" w:ascii="黑体" w:hAnsi="黑体" w:eastAsia="黑体" w:cs="黑体"/>
          <w:b w:val="0"/>
          <w:bCs w:val="0"/>
          <w:sz w:val="15"/>
          <w:szCs w:val="15"/>
          <w:lang w:val="en-US" w:eastAsia="zh-CN"/>
        </w:rPr>
      </w:pPr>
    </w:p>
    <w:p w14:paraId="1DA13774">
      <w:pPr>
        <w:jc w:val="both"/>
        <w:rPr>
          <w:rFonts w:hint="eastAsia" w:ascii="黑体" w:hAnsi="黑体" w:eastAsia="黑体" w:cs="黑体"/>
          <w:b/>
          <w:bCs/>
          <w:color w:val="7030A0"/>
          <w:sz w:val="21"/>
          <w:szCs w:val="21"/>
          <w:lang w:val="en-US" w:eastAsia="zh-CN"/>
        </w:rPr>
      </w:pPr>
      <w:r>
        <w:rPr>
          <w:rFonts w:hint="eastAsia" w:ascii="黑体" w:hAnsi="黑体" w:eastAsia="黑体" w:cs="黑体"/>
          <w:b/>
          <w:bCs/>
          <w:color w:val="7030A0"/>
          <w:sz w:val="21"/>
          <w:szCs w:val="21"/>
          <w:lang w:val="en-US" w:eastAsia="zh-CN"/>
        </w:rPr>
        <w:t>核心观点摘要：</w:t>
      </w:r>
    </w:p>
    <w:p w14:paraId="113C27DD">
      <w:pPr>
        <w:jc w:val="both"/>
        <w:rPr>
          <w:rFonts w:hint="eastAsia" w:ascii="黑体" w:hAnsi="黑体" w:eastAsia="黑体" w:cs="黑体"/>
          <w:b w:val="0"/>
          <w:bCs w:val="0"/>
          <w:sz w:val="15"/>
          <w:szCs w:val="15"/>
          <w:lang w:val="en-US" w:eastAsia="zh-CN"/>
        </w:rPr>
      </w:pPr>
      <w:r>
        <w:rPr>
          <w:rFonts w:hint="eastAsia" w:ascii="黑体" w:hAnsi="黑体" w:eastAsia="黑体" w:cs="黑体"/>
          <w:b/>
          <w:bCs/>
          <w:sz w:val="21"/>
          <w:szCs w:val="21"/>
          <w:lang w:val="en-US" w:eastAsia="zh-CN"/>
        </w:rPr>
        <w:t xml:space="preserve">  </w:t>
      </w:r>
      <w:r>
        <w:rPr>
          <w:rFonts w:hint="eastAsia" w:ascii="黑体" w:hAnsi="黑体" w:eastAsia="黑体" w:cs="黑体"/>
          <w:b w:val="0"/>
          <w:bCs w:val="0"/>
          <w:sz w:val="15"/>
          <w:szCs w:val="15"/>
          <w:lang w:val="en-US" w:eastAsia="zh-CN"/>
        </w:rPr>
        <w:t>对于月球探测多机器人系统而言 ，由于其特殊的现场环境 ，执行任务时，多机器人之间的通信并没有基站等固定基础通信设施的支持。 因此，迫切需要一种不依赖基础设施、能够快速灵活配置的移动通信网络技术。Ad hoc 网络通信模块便是为满足这种特殊应用需求而设计的。 Ad hoc 网络是一种由带有无线收发装置的移动终端组成的一个无中心自组织的临时性多跳自治系统 。 由于采用无线通信技术，不依赖于任何固定设施，就能随时随地组建临时性网络。网络中的移动终端具有路由功能，即网络中的节点互相作为其邻居节点（在其直接通信范围内的节点 ）的路由器 ，通过节点转发实现节点间的通信。</w:t>
      </w:r>
    </w:p>
    <w:p w14:paraId="3151725D">
      <w:pPr>
        <w:jc w:val="both"/>
        <w:rPr>
          <w:rFonts w:hint="eastAsia"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drawing>
          <wp:inline distT="0" distB="0" distL="114300" distR="114300">
            <wp:extent cx="2224405" cy="1953260"/>
            <wp:effectExtent l="0" t="0" r="7620" b="1270"/>
            <wp:docPr id="5" name="图片 5" descr="346704d03349c771934629a19362dc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46704d03349c771934629a19362dc6f"/>
                    <pic:cNvPicPr>
                      <a:picLocks noChangeAspect="1"/>
                    </pic:cNvPicPr>
                  </pic:nvPicPr>
                  <pic:blipFill>
                    <a:blip r:embed="rId7"/>
                    <a:stretch>
                      <a:fillRect/>
                    </a:stretch>
                  </pic:blipFill>
                  <pic:spPr>
                    <a:xfrm>
                      <a:off x="0" y="0"/>
                      <a:ext cx="2224405" cy="1953260"/>
                    </a:xfrm>
                    <a:prstGeom prst="rect">
                      <a:avLst/>
                    </a:prstGeom>
                  </pic:spPr>
                </pic:pic>
              </a:graphicData>
            </a:graphic>
          </wp:inline>
        </w:drawing>
      </w:r>
      <w:r>
        <w:rPr>
          <w:rFonts w:hint="default" w:ascii="黑体" w:hAnsi="黑体" w:eastAsia="黑体" w:cs="黑体"/>
          <w:b w:val="0"/>
          <w:bCs w:val="0"/>
          <w:sz w:val="15"/>
          <w:szCs w:val="15"/>
          <w:lang w:val="en-US" w:eastAsia="zh-CN"/>
        </w:rPr>
        <w:drawing>
          <wp:inline distT="0" distB="0" distL="114300" distR="114300">
            <wp:extent cx="2552065" cy="1963420"/>
            <wp:effectExtent l="0" t="0" r="5715" b="3175"/>
            <wp:docPr id="6" name="图片 6" descr="46cb34644a88c9554870421f5f245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6cb34644a88c9554870421f5f2455d3"/>
                    <pic:cNvPicPr>
                      <a:picLocks noChangeAspect="1"/>
                    </pic:cNvPicPr>
                  </pic:nvPicPr>
                  <pic:blipFill>
                    <a:blip r:embed="rId8"/>
                    <a:srcRect l="4767" r="7688"/>
                    <a:stretch>
                      <a:fillRect/>
                    </a:stretch>
                  </pic:blipFill>
                  <pic:spPr>
                    <a:xfrm>
                      <a:off x="0" y="0"/>
                      <a:ext cx="2552065" cy="1963420"/>
                    </a:xfrm>
                    <a:prstGeom prst="rect">
                      <a:avLst/>
                    </a:prstGeom>
                  </pic:spPr>
                </pic:pic>
              </a:graphicData>
            </a:graphic>
          </wp:inline>
        </w:drawing>
      </w:r>
    </w:p>
    <w:p w14:paraId="13676294">
      <w:pPr>
        <w:jc w:val="both"/>
        <w:rPr>
          <w:rFonts w:hint="eastAsia" w:ascii="黑体" w:hAnsi="黑体" w:eastAsia="黑体" w:cs="黑体"/>
          <w:b w:val="0"/>
          <w:bCs w:val="0"/>
          <w:sz w:val="15"/>
          <w:szCs w:val="15"/>
          <w:lang w:val="en-US" w:eastAsia="zh-CN"/>
        </w:rPr>
      </w:pPr>
      <w:r>
        <w:rPr>
          <w:rFonts w:hint="eastAsia" w:ascii="黑体" w:hAnsi="黑体" w:eastAsia="黑体" w:cs="黑体"/>
          <w:b/>
          <w:bCs/>
          <w:color w:val="1E386B" w:themeColor="accent1" w:themeShade="80"/>
          <w:sz w:val="18"/>
          <w:szCs w:val="18"/>
          <w:lang w:val="en-US" w:eastAsia="zh-CN"/>
        </w:rPr>
        <w:t>月球探测多机器人通信系统的能量消耗模型分析：</w:t>
      </w:r>
      <w:r>
        <w:rPr>
          <w:rFonts w:hint="eastAsia" w:ascii="黑体" w:hAnsi="黑体" w:eastAsia="黑体" w:cs="黑体"/>
          <w:b w:val="0"/>
          <w:bCs w:val="0"/>
          <w:sz w:val="15"/>
          <w:szCs w:val="15"/>
          <w:lang w:val="en-US" w:eastAsia="zh-CN"/>
        </w:rPr>
        <w:t>移动 Ad Hoc 网络中的移动终端能量消耗主要由通信相关的能量消耗和与通信无关的能量消耗两部分构成。其中，通信相关的能量消耗主要体现在无线收发装置收发数据包时所消耗的能量。 下面从无线网卡的能耗和无线节点的能量消耗两个角度分析整个网络的能耗模型。</w:t>
      </w:r>
    </w:p>
    <w:p w14:paraId="78B113D1">
      <w:pPr>
        <w:jc w:val="both"/>
        <w:rPr>
          <w:rFonts w:hint="eastAsia" w:ascii="黑体" w:hAnsi="黑体" w:eastAsia="黑体" w:cs="黑体"/>
          <w:b/>
          <w:bCs/>
          <w:color w:val="1E386B" w:themeColor="accent1" w:themeShade="80"/>
          <w:sz w:val="18"/>
          <w:szCs w:val="18"/>
          <w:lang w:val="en-US" w:eastAsia="zh-CN"/>
        </w:rPr>
      </w:pPr>
    </w:p>
    <w:p w14:paraId="193914F7">
      <w:pPr>
        <w:jc w:val="both"/>
        <w:rPr>
          <w:rFonts w:hint="eastAsia"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drawing>
          <wp:inline distT="0" distB="0" distL="114300" distR="114300">
            <wp:extent cx="2368550" cy="1647825"/>
            <wp:effectExtent l="0" t="0" r="8255" b="5080"/>
            <wp:docPr id="7" name="图片 7" descr="112f6cd810303f2fb19fe704f8c00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12f6cd810303f2fb19fe704f8c00de6"/>
                    <pic:cNvPicPr>
                      <a:picLocks noChangeAspect="1"/>
                    </pic:cNvPicPr>
                  </pic:nvPicPr>
                  <pic:blipFill>
                    <a:blip r:embed="rId9"/>
                    <a:srcRect r="-353" b="49317"/>
                    <a:stretch>
                      <a:fillRect/>
                    </a:stretch>
                  </pic:blipFill>
                  <pic:spPr>
                    <a:xfrm>
                      <a:off x="0" y="0"/>
                      <a:ext cx="2368550" cy="1647825"/>
                    </a:xfrm>
                    <a:prstGeom prst="rect">
                      <a:avLst/>
                    </a:prstGeom>
                  </pic:spPr>
                </pic:pic>
              </a:graphicData>
            </a:graphic>
          </wp:inline>
        </w:drawing>
      </w:r>
      <w:r>
        <w:rPr>
          <w:rFonts w:hint="eastAsia" w:ascii="黑体" w:hAnsi="黑体" w:eastAsia="黑体" w:cs="黑体"/>
          <w:b w:val="0"/>
          <w:bCs w:val="0"/>
          <w:sz w:val="15"/>
          <w:szCs w:val="15"/>
          <w:lang w:val="en-US" w:eastAsia="zh-CN"/>
        </w:rPr>
        <w:t xml:space="preserve">  </w:t>
      </w:r>
      <w:r>
        <w:rPr>
          <w:rFonts w:hint="eastAsia" w:ascii="黑体" w:hAnsi="黑体" w:eastAsia="黑体" w:cs="黑体"/>
          <w:b w:val="0"/>
          <w:bCs w:val="0"/>
          <w:sz w:val="15"/>
          <w:szCs w:val="15"/>
          <w:lang w:val="en-US" w:eastAsia="zh-CN"/>
        </w:rPr>
        <w:drawing>
          <wp:inline distT="0" distB="0" distL="114300" distR="114300">
            <wp:extent cx="2347595" cy="1652270"/>
            <wp:effectExtent l="0" t="0" r="5080" b="635"/>
            <wp:docPr id="8" name="图片 8" descr="112f6cd810303f2fb19fe704f8c00d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2f6cd810303f2fb19fe704f8c00de6"/>
                    <pic:cNvPicPr>
                      <a:picLocks noChangeAspect="1"/>
                    </pic:cNvPicPr>
                  </pic:nvPicPr>
                  <pic:blipFill>
                    <a:blip r:embed="rId9"/>
                    <a:srcRect t="49360" r="882"/>
                    <a:stretch>
                      <a:fillRect/>
                    </a:stretch>
                  </pic:blipFill>
                  <pic:spPr>
                    <a:xfrm>
                      <a:off x="0" y="0"/>
                      <a:ext cx="2347595" cy="1652270"/>
                    </a:xfrm>
                    <a:prstGeom prst="rect">
                      <a:avLst/>
                    </a:prstGeom>
                  </pic:spPr>
                </pic:pic>
              </a:graphicData>
            </a:graphic>
          </wp:inline>
        </w:drawing>
      </w:r>
    </w:p>
    <w:p w14:paraId="61BE471D">
      <w:pPr>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drawing>
          <wp:inline distT="0" distB="0" distL="114300" distR="114300">
            <wp:extent cx="3011170" cy="381635"/>
            <wp:effectExtent l="0" t="0" r="5080" b="4445"/>
            <wp:docPr id="9" name="图片 9" descr="8c38a31feef4927eca9e3e3b8922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c38a31feef4927eca9e3e3b89223212"/>
                    <pic:cNvPicPr>
                      <a:picLocks noChangeAspect="1"/>
                    </pic:cNvPicPr>
                  </pic:nvPicPr>
                  <pic:blipFill>
                    <a:blip r:embed="rId10"/>
                    <a:stretch>
                      <a:fillRect/>
                    </a:stretch>
                  </pic:blipFill>
                  <pic:spPr>
                    <a:xfrm>
                      <a:off x="0" y="0"/>
                      <a:ext cx="3011170" cy="381635"/>
                    </a:xfrm>
                    <a:prstGeom prst="rect">
                      <a:avLst/>
                    </a:prstGeom>
                  </pic:spPr>
                </pic:pic>
              </a:graphicData>
            </a:graphic>
          </wp:inline>
        </w:drawing>
      </w:r>
      <w:r>
        <w:rPr>
          <w:rFonts w:hint="default" w:ascii="黑体" w:hAnsi="黑体" w:eastAsia="黑体" w:cs="黑体"/>
          <w:b w:val="0"/>
          <w:bCs w:val="0"/>
          <w:sz w:val="15"/>
          <w:szCs w:val="15"/>
          <w:lang w:val="en-US" w:eastAsia="zh-CN"/>
        </w:rPr>
        <w:drawing>
          <wp:inline distT="0" distB="0" distL="114300" distR="114300">
            <wp:extent cx="2997835" cy="1693545"/>
            <wp:effectExtent l="0" t="0" r="6350" b="7620"/>
            <wp:docPr id="10" name="图片 10" descr="3c7188231d62eb4211156ca8ca45b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c7188231d62eb4211156ca8ca45b06e"/>
                    <pic:cNvPicPr>
                      <a:picLocks noChangeAspect="1"/>
                    </pic:cNvPicPr>
                  </pic:nvPicPr>
                  <pic:blipFill>
                    <a:blip r:embed="rId11"/>
                    <a:stretch>
                      <a:fillRect/>
                    </a:stretch>
                  </pic:blipFill>
                  <pic:spPr>
                    <a:xfrm>
                      <a:off x="0" y="0"/>
                      <a:ext cx="2997835" cy="1693545"/>
                    </a:xfrm>
                    <a:prstGeom prst="rect">
                      <a:avLst/>
                    </a:prstGeom>
                  </pic:spPr>
                </pic:pic>
              </a:graphicData>
            </a:graphic>
          </wp:inline>
        </w:drawing>
      </w:r>
    </w:p>
    <w:p w14:paraId="48122DC3">
      <w:pPr>
        <w:jc w:val="both"/>
        <w:rPr>
          <w:rFonts w:hint="eastAsia" w:ascii="黑体" w:hAnsi="黑体" w:eastAsia="黑体" w:cs="黑体"/>
          <w:b w:val="0"/>
          <w:bCs w:val="0"/>
          <w:sz w:val="15"/>
          <w:szCs w:val="15"/>
          <w:lang w:val="en-US" w:eastAsia="zh-CN"/>
        </w:rPr>
      </w:pPr>
      <w:r>
        <w:rPr>
          <w:rFonts w:hint="default" w:ascii="黑体" w:hAnsi="黑体" w:eastAsia="黑体" w:cs="黑体"/>
          <w:b/>
          <w:bCs/>
          <w:color w:val="1E386B" w:themeColor="accent1" w:themeShade="80"/>
          <w:sz w:val="18"/>
          <w:szCs w:val="18"/>
          <w:lang w:val="en-US" w:eastAsia="zh-CN"/>
        </w:rPr>
        <w:t>DLER 路由协议的设计策略</w:t>
      </w:r>
      <w:r>
        <w:rPr>
          <w:rFonts w:hint="eastAsia" w:ascii="黑体" w:hAnsi="黑体" w:eastAsia="黑体" w:cs="黑体"/>
          <w:b/>
          <w:bCs/>
          <w:color w:val="1E386B" w:themeColor="accent1" w:themeShade="80"/>
          <w:sz w:val="18"/>
          <w:szCs w:val="18"/>
          <w:lang w:val="en-US" w:eastAsia="zh-CN"/>
        </w:rPr>
        <w:t>：</w:t>
      </w:r>
      <w:r>
        <w:rPr>
          <w:rFonts w:hint="eastAsia" w:ascii="黑体" w:hAnsi="黑体" w:eastAsia="黑体" w:cs="黑体"/>
          <w:b w:val="0"/>
          <w:bCs w:val="0"/>
          <w:sz w:val="15"/>
          <w:szCs w:val="15"/>
          <w:lang w:val="en-US" w:eastAsia="zh-CN"/>
        </w:rPr>
        <w:t>由 于月球探测多机器人系统对于网络实时性的要求比较高，本文借鉴了DSR（Dynamic Source Routing）协议的源路由思想，每个数据包的包头里均包含了从源节点到目的节点的路径信息。另外，考虑节能性的要求，将整条路径的总的传送功率、路径上所有节点的剩余电池能量的最小值以及跳数作为路由度量寻找最优路径。当网络中所有节点有充足剩余能量时 ，将跳数和总传送功率作为衡量路由优劣的度量 ；当节点处于低能状态时 ，为了避免低能量节点的过度使用 ，将选用路径上所有节点剩余电池能量的最小值作为路由度量。</w:t>
      </w:r>
    </w:p>
    <w:p w14:paraId="4064A114">
      <w:pPr>
        <w:ind w:firstLine="300"/>
        <w:jc w:val="both"/>
        <w:rPr>
          <w:rFonts w:hint="default"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t>定义变量X为路径 P∶(n1,n2,...,ni, nj, ..., nd)的总传送功率：</w:t>
      </w:r>
      <w:r>
        <w:rPr>
          <w:rFonts w:hint="eastAsia" w:ascii="黑体" w:hAnsi="黑体" w:eastAsia="黑体" w:cs="黑体"/>
          <w:b w:val="0"/>
          <w:bCs w:val="0"/>
          <w:sz w:val="15"/>
          <w:szCs w:val="15"/>
          <w:lang w:val="en-US" w:eastAsia="zh-CN"/>
        </w:rPr>
        <w:drawing>
          <wp:inline distT="0" distB="0" distL="114300" distR="114300">
            <wp:extent cx="817880" cy="173355"/>
            <wp:effectExtent l="0" t="0" r="2540" b="7620"/>
            <wp:docPr id="11" name="图片 11" descr="faf7339f45ade22dd66626b574446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af7339f45ade22dd66626b5744462dd"/>
                    <pic:cNvPicPr>
                      <a:picLocks noChangeAspect="1"/>
                    </pic:cNvPicPr>
                  </pic:nvPicPr>
                  <pic:blipFill>
                    <a:blip r:embed="rId12"/>
                    <a:srcRect l="78" t="22663"/>
                    <a:stretch>
                      <a:fillRect/>
                    </a:stretch>
                  </pic:blipFill>
                  <pic:spPr>
                    <a:xfrm>
                      <a:off x="0" y="0"/>
                      <a:ext cx="817880" cy="173355"/>
                    </a:xfrm>
                    <a:prstGeom prst="rect">
                      <a:avLst/>
                    </a:prstGeom>
                  </pic:spPr>
                </pic:pic>
              </a:graphicData>
            </a:graphic>
          </wp:inline>
        </w:drawing>
      </w:r>
    </w:p>
    <w:p w14:paraId="47448E30">
      <w:pPr>
        <w:jc w:val="both"/>
        <w:rPr>
          <w:rFonts w:hint="eastAsia" w:ascii="黑体" w:hAnsi="黑体" w:eastAsia="黑体" w:cs="黑体"/>
          <w:b w:val="0"/>
          <w:bCs w:val="0"/>
          <w:sz w:val="15"/>
          <w:szCs w:val="15"/>
          <w:lang w:val="en-US" w:eastAsia="zh-CN"/>
        </w:rPr>
      </w:pPr>
    </w:p>
    <w:p w14:paraId="4E0C6B69">
      <w:pPr>
        <w:jc w:val="both"/>
        <w:rPr>
          <w:rFonts w:hint="default" w:ascii="黑体" w:hAnsi="黑体" w:eastAsia="黑体" w:cs="黑体"/>
          <w:b w:val="0"/>
          <w:bCs w:val="0"/>
          <w:sz w:val="15"/>
          <w:szCs w:val="15"/>
          <w:lang w:val="en-US" w:eastAsia="zh-CN"/>
        </w:rPr>
      </w:pPr>
      <w:r>
        <w:rPr>
          <w:rFonts w:hint="eastAsia" w:ascii="黑体" w:hAnsi="黑体" w:eastAsia="黑体" w:cs="黑体"/>
          <w:b w:val="0"/>
          <w:bCs w:val="0"/>
          <w:sz w:val="15"/>
          <w:szCs w:val="15"/>
          <w:lang w:val="en-US" w:eastAsia="zh-CN"/>
        </w:rPr>
        <w:drawing>
          <wp:inline distT="0" distB="0" distL="114300" distR="114300">
            <wp:extent cx="2097405" cy="1131570"/>
            <wp:effectExtent l="0" t="0" r="1905" b="2540"/>
            <wp:docPr id="12" name="图片 12" descr="9847ff4874b2b876e14fb013674fa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847ff4874b2b876e14fb013674fa103"/>
                    <pic:cNvPicPr>
                      <a:picLocks noChangeAspect="1"/>
                    </pic:cNvPicPr>
                  </pic:nvPicPr>
                  <pic:blipFill>
                    <a:blip r:embed="rId13"/>
                    <a:stretch>
                      <a:fillRect/>
                    </a:stretch>
                  </pic:blipFill>
                  <pic:spPr>
                    <a:xfrm>
                      <a:off x="0" y="0"/>
                      <a:ext cx="2097405" cy="1131570"/>
                    </a:xfrm>
                    <a:prstGeom prst="rect">
                      <a:avLst/>
                    </a:prstGeom>
                  </pic:spPr>
                </pic:pic>
              </a:graphicData>
            </a:graphic>
          </wp:inline>
        </w:drawing>
      </w:r>
      <w:r>
        <w:rPr>
          <w:rFonts w:hint="eastAsia" w:ascii="黑体" w:hAnsi="黑体" w:eastAsia="黑体" w:cs="黑体"/>
          <w:b w:val="0"/>
          <w:bCs w:val="0"/>
          <w:sz w:val="15"/>
          <w:szCs w:val="15"/>
          <w:lang w:val="en-US" w:eastAsia="zh-CN"/>
        </w:rPr>
        <w:t xml:space="preserve"> </w:t>
      </w:r>
      <w:r>
        <w:rPr>
          <w:rFonts w:hint="default" w:ascii="黑体" w:hAnsi="黑体" w:eastAsia="黑体" w:cs="黑体"/>
          <w:b w:val="0"/>
          <w:bCs w:val="0"/>
          <w:sz w:val="15"/>
          <w:szCs w:val="15"/>
          <w:lang w:val="en-US" w:eastAsia="zh-CN"/>
        </w:rPr>
        <w:drawing>
          <wp:inline distT="0" distB="0" distL="114300" distR="114300">
            <wp:extent cx="3075940" cy="1115695"/>
            <wp:effectExtent l="0" t="0" r="635" b="6350"/>
            <wp:docPr id="13" name="图片 13" descr="fbf505026d89951d17dfba59dcca64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bf505026d89951d17dfba59dcca64c1"/>
                    <pic:cNvPicPr>
                      <a:picLocks noChangeAspect="1"/>
                    </pic:cNvPicPr>
                  </pic:nvPicPr>
                  <pic:blipFill>
                    <a:blip r:embed="rId14"/>
                    <a:stretch>
                      <a:fillRect/>
                    </a:stretch>
                  </pic:blipFill>
                  <pic:spPr>
                    <a:xfrm>
                      <a:off x="0" y="0"/>
                      <a:ext cx="3075940" cy="1115695"/>
                    </a:xfrm>
                    <a:prstGeom prst="rect">
                      <a:avLst/>
                    </a:prstGeom>
                  </pic:spPr>
                </pic:pic>
              </a:graphicData>
            </a:graphic>
          </wp:inline>
        </w:drawing>
      </w:r>
    </w:p>
    <w:p w14:paraId="7324305C">
      <w:pPr>
        <w:jc w:val="both"/>
        <w:rPr>
          <w:rFonts w:hint="eastAsia"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drawing>
          <wp:inline distT="0" distB="0" distL="114300" distR="114300">
            <wp:extent cx="2360295" cy="1921510"/>
            <wp:effectExtent l="0" t="0" r="4445" b="8890"/>
            <wp:docPr id="14" name="图片 14" descr="5b1e8dc01ca628dfd831aaddba66f4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b1e8dc01ca628dfd831aaddba66f4d3"/>
                    <pic:cNvPicPr>
                      <a:picLocks noChangeAspect="1"/>
                    </pic:cNvPicPr>
                  </pic:nvPicPr>
                  <pic:blipFill>
                    <a:blip r:embed="rId15"/>
                    <a:stretch>
                      <a:fillRect/>
                    </a:stretch>
                  </pic:blipFill>
                  <pic:spPr>
                    <a:xfrm>
                      <a:off x="0" y="0"/>
                      <a:ext cx="2360295" cy="1921510"/>
                    </a:xfrm>
                    <a:prstGeom prst="rect">
                      <a:avLst/>
                    </a:prstGeom>
                  </pic:spPr>
                </pic:pic>
              </a:graphicData>
            </a:graphic>
          </wp:inline>
        </w:drawing>
      </w:r>
    </w:p>
    <w:p w14:paraId="05FACD14">
      <w:pPr>
        <w:jc w:val="both"/>
        <w:rPr>
          <w:rFonts w:hint="default" w:ascii="黑体" w:hAnsi="黑体" w:eastAsia="黑体" w:cs="黑体"/>
          <w:b w:val="0"/>
          <w:bCs w:val="0"/>
          <w:sz w:val="15"/>
          <w:szCs w:val="15"/>
          <w:lang w:val="en-US" w:eastAsia="zh-CN"/>
        </w:rPr>
      </w:pPr>
    </w:p>
    <w:p w14:paraId="22BCC8C5">
      <w:pPr>
        <w:jc w:val="both"/>
        <w:rPr>
          <w:rFonts w:hint="eastAsia" w:ascii="黑体" w:hAnsi="黑体" w:eastAsia="黑体" w:cs="黑体"/>
          <w:b w:val="0"/>
          <w:bCs w:val="0"/>
          <w:sz w:val="15"/>
          <w:szCs w:val="15"/>
          <w:lang w:val="en-US" w:eastAsia="zh-CN"/>
        </w:rPr>
      </w:pPr>
      <w:r>
        <w:rPr>
          <w:rFonts w:hint="eastAsia" w:ascii="黑体" w:hAnsi="黑体" w:eastAsia="黑体" w:cs="黑体"/>
          <w:b/>
          <w:bCs/>
          <w:color w:val="7030A0"/>
          <w:sz w:val="21"/>
          <w:szCs w:val="21"/>
          <w:lang w:val="en-US" w:eastAsia="zh-CN"/>
        </w:rPr>
        <w:t>对项目的启发：</w:t>
      </w:r>
    </w:p>
    <w:p w14:paraId="19527F05">
      <w:pPr>
        <w:ind w:firstLine="300" w:firstLineChars="200"/>
        <w:jc w:val="both"/>
        <w:rPr>
          <w:rFonts w:hint="eastAsia"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该文献是本次研究中与我们路由设计最直接、最贴近的一篇。它面对的场景与我们几乎完全一致：月球探测多机器人系统"没有基站等固定基础通信设施的支持"，因此需要一种"不依赖基础设施、能够快速灵活配置"的移动通信网络技术，即无中心、自组织的 Ad hoc 网络。文中明确指出"网络中的节点互相作为其邻居节点（在其直接通信范围内的节点）的路由器，通过节点转发实现节点间的通信"，这正是我们在月球熔岩管里要构建的图景——每个道钉/机器人节点既是终端又是路由器，信号在它们之间接力跳转。</w:t>
      </w:r>
    </w:p>
    <w:p w14:paraId="7A900E62">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更关键的是，它为我们 LTRP 的 L2 路由计算面提供了直接的算法骨架与度量思想。该文献将"路由跳数、路由传送功率、节点剩余电池能量"作为路由度量，采用改进的离散 Bellman-Ford 算法求解最优路径；尤其是它提出的双模式度量切换——"当网络中所有节点有充足剩余能量时，将跳数和总传送功率作为衡量路由优劣的度量；当节点处于低能状态时，为了避免低能量节点的过度使用，将选用路径上所有节点剩余电池能量的最小值作为路由度量"——这与我们要设计的 NORMAL/PROTECTED/DYING 能量状态机式度量切换高度契合，我们可以直接将其迁移为 LTRP 的选路规则：正常时最小化（跳数+功耗），绕不开低能区时切换为最大-最小剩余能量。同时，它在 DSR 源路由上保障实时控制指令的做法，也为我们处理急停/转向等安全攸关指令提供了现成思路（路径写进包头、坏一跳即源端重算）。</w:t>
      </w:r>
    </w:p>
    <w:p w14:paraId="68AC7851">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不过也正因此，本文暴露了我们的创新空间：它针对的是较简单的平面拓扑，而我们要面对的是"多腔室+窄喉道+巨石遮挡"的复杂串珠状结构，存在割点、链路间歇等问题，仅靠它的度量与 Bellman-Ford 还不够。我们将以此为基础，叠加结构感知的分域、割点自识别与容断存储转发，形成完整的 LTRP。可以说，路艳玲的 DLER 是我们最贴脚的垫脚石，而我们的工作是在它之上往"复杂结构与去中心化"更进一步的延伸。</w:t>
      </w:r>
    </w:p>
    <w:p w14:paraId="3510E020">
      <w:pPr>
        <w:jc w:val="both"/>
        <w:rPr>
          <w:rFonts w:hint="eastAsia" w:ascii="黑体" w:hAnsi="黑体" w:eastAsia="黑体" w:cs="黑体"/>
          <w:b w:val="0"/>
          <w:bCs w:val="0"/>
          <w:sz w:val="15"/>
          <w:szCs w:val="15"/>
          <w:lang w:val="en-US" w:eastAsia="zh-CN"/>
        </w:rPr>
      </w:pPr>
    </w:p>
    <w:p w14:paraId="2AF18C1B">
      <w:pPr>
        <w:jc w:val="both"/>
        <w:rPr>
          <w:rFonts w:hint="eastAsia" w:ascii="黑体" w:hAnsi="黑体" w:eastAsia="黑体" w:cs="黑体"/>
          <w:b w:val="0"/>
          <w:bCs w:val="0"/>
          <w:sz w:val="15"/>
          <w:szCs w:val="15"/>
          <w:lang w:val="en-US" w:eastAsia="zh-CN"/>
        </w:rPr>
      </w:pPr>
    </w:p>
    <w:p w14:paraId="18045BC7">
      <w:pPr>
        <w:jc w:val="both"/>
        <w:rPr>
          <w:rFonts w:hint="eastAsia" w:ascii="黑体" w:hAnsi="黑体" w:eastAsia="黑体" w:cs="黑体"/>
          <w:b w:val="0"/>
          <w:bCs w:val="0"/>
          <w:sz w:val="15"/>
          <w:szCs w:val="15"/>
          <w:lang w:val="en-US" w:eastAsia="zh-CN"/>
        </w:rPr>
      </w:pPr>
    </w:p>
    <w:p w14:paraId="6245850A">
      <w:pPr>
        <w:jc w:val="both"/>
        <w:rPr>
          <w:rFonts w:hint="eastAsia" w:ascii="黑体" w:hAnsi="黑体" w:eastAsia="黑体" w:cs="黑体"/>
          <w:b w:val="0"/>
          <w:bCs w:val="0"/>
          <w:sz w:val="15"/>
          <w:szCs w:val="15"/>
          <w:lang w:val="en-US" w:eastAsia="zh-CN"/>
        </w:rPr>
      </w:pPr>
    </w:p>
    <w:p w14:paraId="33040366">
      <w:pPr>
        <w:jc w:val="both"/>
        <w:rPr>
          <w:rFonts w:hint="eastAsia" w:ascii="黑体" w:hAnsi="黑体" w:eastAsia="黑体" w:cs="黑体"/>
          <w:b/>
          <w:bCs/>
          <w:color w:val="7030A0"/>
          <w:sz w:val="21"/>
          <w:szCs w:val="21"/>
          <w:lang w:val="en-US" w:eastAsia="zh-CN"/>
        </w:rPr>
      </w:pPr>
      <w:bookmarkStart w:id="0" w:name="_GoBack"/>
      <w:bookmarkEnd w:id="0"/>
    </w:p>
    <w:p w14:paraId="7512D819">
      <w:pPr>
        <w:jc w:val="center"/>
        <w:rPr>
          <w:rFonts w:hint="eastAsia" w:ascii="黑体" w:hAnsi="黑体" w:eastAsia="黑体" w:cs="黑体"/>
          <w:b/>
          <w:bCs/>
          <w:sz w:val="28"/>
          <w:szCs w:val="28"/>
          <w:u w:val="single"/>
          <w:lang w:val="en-US" w:eastAsia="zh-CN"/>
        </w:rPr>
      </w:pPr>
      <w:r>
        <w:rPr>
          <w:rFonts w:hint="eastAsia" w:ascii="黑体" w:hAnsi="黑体" w:eastAsia="黑体" w:cs="黑体"/>
          <w:b/>
          <w:bCs/>
          <w:sz w:val="28"/>
          <w:szCs w:val="28"/>
          <w:u w:val="single"/>
          <w:lang w:val="en-US" w:eastAsia="zh-CN"/>
        </w:rPr>
        <w:t xml:space="preserve">StrategiesforDeployingaSensorNetworktoExplorePlanetary </w:t>
      </w:r>
    </w:p>
    <w:p w14:paraId="39F67F33">
      <w:pPr>
        <w:jc w:val="center"/>
        <w:rPr>
          <w:rFonts w:hint="default" w:ascii="黑体" w:hAnsi="黑体" w:eastAsia="黑体" w:cs="黑体"/>
          <w:b/>
          <w:bCs/>
          <w:sz w:val="28"/>
          <w:szCs w:val="28"/>
          <w:lang w:val="en-US" w:eastAsia="zh-CN"/>
        </w:rPr>
      </w:pPr>
      <w:r>
        <w:rPr>
          <w:rFonts w:hint="eastAsia" w:ascii="黑体" w:hAnsi="黑体" w:eastAsia="黑体" w:cs="黑体"/>
          <w:b/>
          <w:bCs/>
          <w:sz w:val="28"/>
          <w:szCs w:val="28"/>
          <w:u w:val="single"/>
          <w:lang w:val="en-US" w:eastAsia="zh-CN"/>
        </w:rPr>
        <w:t>LavaTubes</w:t>
      </w:r>
      <w:r>
        <w:rPr>
          <w:rFonts w:hint="eastAsia" w:ascii="黑体" w:hAnsi="黑体" w:eastAsia="黑体" w:cs="黑体"/>
          <w:b/>
          <w:bCs/>
          <w:sz w:val="28"/>
          <w:szCs w:val="28"/>
          <w:lang w:val="en-US" w:eastAsia="zh-CN"/>
        </w:rPr>
        <w:t>阅读报告</w:t>
      </w:r>
    </w:p>
    <w:p w14:paraId="37CDD10D">
      <w:pPr>
        <w:jc w:val="both"/>
        <w:rPr>
          <w:rFonts w:hint="eastAsia" w:ascii="黑体" w:hAnsi="黑体" w:eastAsia="黑体" w:cs="黑体"/>
          <w:b/>
          <w:bCs/>
          <w:sz w:val="21"/>
          <w:szCs w:val="21"/>
          <w:lang w:val="en-US" w:eastAsia="zh-CN"/>
        </w:rPr>
      </w:pPr>
      <w:r>
        <w:rPr>
          <w:rFonts w:hint="eastAsia" w:ascii="黑体" w:hAnsi="黑体" w:eastAsia="黑体" w:cs="黑体"/>
          <w:b/>
          <w:bCs/>
          <w:color w:val="7030A0"/>
          <w:sz w:val="21"/>
          <w:szCs w:val="21"/>
          <w:lang w:val="en-US" w:eastAsia="zh-CN"/>
        </w:rPr>
        <w:t>文献信息</w:t>
      </w:r>
      <w:r>
        <w:rPr>
          <w:rFonts w:hint="eastAsia" w:ascii="黑体" w:hAnsi="黑体" w:eastAsia="黑体" w:cs="黑体"/>
          <w:b/>
          <w:bCs/>
          <w:sz w:val="21"/>
          <w:szCs w:val="21"/>
          <w:lang w:val="en-US" w:eastAsia="zh-CN"/>
        </w:rPr>
        <w:t>：</w:t>
      </w:r>
    </w:p>
    <w:p w14:paraId="500CD0BA">
      <w:pPr>
        <w:ind w:firstLine="361"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bCs/>
          <w:sz w:val="18"/>
          <w:szCs w:val="18"/>
          <w:lang w:val="en-US" w:eastAsia="zh-CN"/>
        </w:rPr>
        <w:t>摘要</w:t>
      </w:r>
      <w:r>
        <w:rPr>
          <w:rFonts w:hint="eastAsia" w:ascii="黑体" w:hAnsi="黑体" w:eastAsia="黑体" w:cs="黑体"/>
          <w:b w:val="0"/>
          <w:bCs w:val="0"/>
          <w:sz w:val="15"/>
          <w:szCs w:val="15"/>
          <w:lang w:val="en-US" w:eastAsia="zh-CN"/>
        </w:rPr>
        <w:t>：（翻译版）</w:t>
      </w:r>
    </w:p>
    <w:p w14:paraId="47736082">
      <w:pPr>
        <w:ind w:firstLine="300" w:firstLineChars="200"/>
        <w:jc w:val="both"/>
        <w:rPr>
          <w:rFonts w:hint="eastAsia"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近年来在月球和火星表面新发现的坑洞，据推测是熔岩管的遗迹，其内部可能处于原始未受扰动的状态。当前的着陆器和火星车无法进入这些高价值区域。然而，多个低成本、能够利用弹跳（ballistic hopping）这种非常规机动方式移动的小型机器人，可以通过团队协作进入这些环境进行探索。</w:t>
      </w:r>
    </w:p>
    <w:p w14:paraId="703003D7">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在这项工作中，我们提出利用一种"母子架构"（mother-daughter architecture）来探索这些新发现的月球和火星坑洞：一个能力更强的火星车或着陆器，战略性地部署若干个球形机器人（SphereX），让它们弹跳进入崎岖的坑洞环境，而不必让火星车/着陆器冒险。SphereX 机器人自主运行，执行科学任务——例如进入洞口、获取高分辨率图像、生成环境三维地图。SphereX 机器人利用火星车/着陆器的资源，包括充电用的电力，以及通往地球的远程通信链路。</w:t>
      </w:r>
    </w:p>
    <w:p w14:paraId="08F86DE2">
      <w:pPr>
        <w:ind w:firstLine="300" w:firstLineChars="200"/>
        <w:jc w:val="both"/>
        <w:rPr>
          <w:rFonts w:hint="eastAsia"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多个 SphereX 机器人将沿推测的洞穴/熔岩管放置，以维持从火星车/着陆器到洞内机器人编队的一条直接视距（line-of-sight）连接链路。这条直接视距链路可用于多跳通信和无线电力传输，从而让探索任务持续更长时间，甚至为未来的高风险任务奠定基础。</w:t>
      </w:r>
    </w:p>
    <w:p w14:paraId="36377BFD">
      <w:pPr>
        <w:jc w:val="both"/>
        <w:rPr>
          <w:rFonts w:hint="default" w:ascii="黑体" w:hAnsi="黑体" w:eastAsia="黑体" w:cs="黑体"/>
          <w:b w:val="0"/>
          <w:bCs w:val="0"/>
          <w:sz w:val="15"/>
          <w:szCs w:val="15"/>
          <w:lang w:val="en-US" w:eastAsia="zh-CN"/>
        </w:rPr>
      </w:pPr>
      <w:r>
        <w:rPr>
          <w:rFonts w:hint="eastAsia" w:ascii="黑体" w:hAnsi="黑体" w:eastAsia="黑体" w:cs="黑体"/>
          <w:b/>
          <w:bCs/>
          <w:sz w:val="18"/>
          <w:szCs w:val="18"/>
          <w:lang w:val="en-US" w:eastAsia="zh-CN"/>
        </w:rPr>
        <w:t>关键词：</w:t>
      </w:r>
      <w:r>
        <w:rPr>
          <w:rFonts w:hint="default" w:ascii="黑体" w:hAnsi="黑体" w:eastAsia="黑体" w:cs="黑体"/>
          <w:b w:val="0"/>
          <w:bCs w:val="0"/>
          <w:sz w:val="15"/>
          <w:szCs w:val="15"/>
          <w:lang w:val="en-US" w:eastAsia="zh-CN"/>
        </w:rPr>
        <w:t>传感器网络；洞穴探索；建图；导航</w:t>
      </w:r>
    </w:p>
    <w:p w14:paraId="12677295">
      <w:pPr>
        <w:jc w:val="both"/>
        <w:rPr>
          <w:rFonts w:hint="eastAsia" w:ascii="黑体" w:hAnsi="黑体" w:eastAsia="黑体" w:cs="黑体"/>
          <w:b w:val="0"/>
          <w:bCs w:val="0"/>
          <w:sz w:val="15"/>
          <w:szCs w:val="15"/>
          <w:lang w:val="en-US" w:eastAsia="zh-CN"/>
        </w:rPr>
      </w:pPr>
    </w:p>
    <w:p w14:paraId="4448D178">
      <w:pPr>
        <w:ind w:firstLine="422"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bCs/>
          <w:color w:val="7030A0"/>
          <w:sz w:val="21"/>
          <w:szCs w:val="21"/>
          <w:lang w:val="en-US" w:eastAsia="zh-CN"/>
        </w:rPr>
        <w:t>核心观点摘要：</w:t>
      </w:r>
    </w:p>
    <w:p w14:paraId="697111E6">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核心观点一：熔岩管必然遮挡视距，通信只能靠多跳：由于洞穴与熔岩管的物理结构，洞外基站与洞内机器人之间几乎不可能建立直接视距连接。因此不能点对点直连，而必须让多个机器人互相串联转发。这是全文一切设计的出发点，决定了通信网只能是多跳中继链。</w:t>
      </w:r>
    </w:p>
    <w:p w14:paraId="79A3C59C">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核心观点二：多跳中继采用"水桶队"式排布：机器人像水桶队一样沿洞穴/熔岩管逐个排开，把信息从一个传给相邻的下一个，最终经多级中继传回基站。这条中继链"一链两用"，既能支撑多跳通信，也能实现沿链无线激光供电，从而让任务持续更久，并克服熔岩管长距离、多拐弯造成的连通与续航难题。</w:t>
      </w:r>
    </w:p>
    <w:p w14:paraId="7F1B58A9">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核心观点三：中继摆放是"最少数量 + 全程无障碍"的优化问题：视距分析表明，洞口机器人用桅杆加定向天线，天线半功率波束宽度 B 与倾角 θ 决定洞底可通信范围，距洞口 5 米内用 3 米桅杆即可，距离拉到 10 米则需 5.7 米。数学上，洞穴用非凸多面体 P_cave 表示，障碍为 P_obs，自由空间 P_free = P_cave\P_obs，目标是找最少的 N 个中继，使每跳路径都落在自由空间内、连通源与目的。求解用 RRT 及其改进版 RRT*，可在含障碍甚至地图未知的洞穴中找出最优中继链，并结合"探索–放置–传感器"循环逐段推进。</w:t>
      </w:r>
    </w:p>
    <w:p w14:paraId="29FEDF02">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核心观点四：多跳通信性能随中继数增加而衰减：单跳为加性高斯白噪声信道的香农容量，但多跳时每一级中继放大发射功率的同时也放大噪声底，因此第 n 跳的速率与误码率都随 n 恶化，多跳总误码率近似等于各跳误码率之和。仿真用 500 MHz RF、2 GHz RF 与 200 THz 光通信三种方案：500 MHz、10% 带宽在 1000 米上仅约 18 kbps，而 200 THz、1% 带宽光通信可到约 0.7 Gbps。这揭示熔岩管长链通信的固有瓶颈——中继越多，速率与误码性能越差。</w:t>
      </w:r>
    </w:p>
    <w:p w14:paraId="2820BA08">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核心观点五：中继链同时也是"激光输电线"：沿洞铺设的机器人还可用于无线供电，由母体发出高功率激光，经多跳信道射向洞内机器人。论文给出了"电→激光、激光传输、激光→电"三阶段模型及各级效率公式：每一级中继把入射激光的一部分转换为电能供自身使用，余下反射给下一级，以反射效率 R 与每级自存功率决定可传输的总距离。这解决了电池受限中继节点的续航问题，使传感器网络能在不靠人工补电的情况下长期运行。</w:t>
      </w:r>
    </w:p>
    <w:p w14:paraId="34CB6768">
      <w:pPr>
        <w:ind w:firstLine="422" w:firstLineChars="200"/>
        <w:jc w:val="both"/>
        <w:rPr>
          <w:rFonts w:hint="eastAsia" w:ascii="黑体" w:hAnsi="黑体" w:eastAsia="黑体" w:cs="黑体"/>
          <w:b w:val="0"/>
          <w:bCs w:val="0"/>
          <w:sz w:val="15"/>
          <w:szCs w:val="15"/>
          <w:lang w:val="en-US" w:eastAsia="zh-CN"/>
        </w:rPr>
      </w:pPr>
      <w:r>
        <w:rPr>
          <w:rFonts w:hint="eastAsia" w:ascii="黑体" w:hAnsi="黑体" w:eastAsia="黑体" w:cs="黑体"/>
          <w:b/>
          <w:bCs/>
          <w:color w:val="7030A0"/>
          <w:sz w:val="21"/>
          <w:szCs w:val="21"/>
          <w:lang w:val="en-US" w:eastAsia="zh-CN"/>
        </w:rPr>
        <w:t>对项目的启发：</w:t>
      </w:r>
    </w:p>
    <w:p w14:paraId="26F9A597">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该文献对我们项目的贡献体现在物理层与链路层，它把"熔岩管里通信网是长什么样、性能怎么做、能量怎么续"这个问题用工程数据讲清楚了。它提出利用"母子架构"（母体的着陆器/火星车 + 子体的球形机器人 SphereX）进入熔岩管，并明确给出"多个 SphereX 机器人将沿推测的洞穴/熔岩管放置，以维持从火星车/着陆器到洞内机器人编队的一条直接视距连接链路"。最有价值的是它对视距的定量分析：由于"洞穴和熔岩管的物理结构"，洞外基站与洞内机器人之间很难维持直接视距，因此机器人必须像"水桶队"一样逐个接力传递信息——这从物理上论证了我们在熔岩管里只能采用多跳中继链的前提，印证了 LTRP 分域、割点识别、链路准入设计的必要性。</w:t>
      </w:r>
    </w:p>
    <w:p w14:paraId="18EAD070">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同时它给了我们两个可直接量化的工具：其一，中用 RRT* 求解"最少中继数量 N + 每跳落在自由空间 P_free 内"的传感器最优摆放问题，这为我们在复杂熔岩管里规划节点部署（哪些位置该放道钉/中继）提供了算法参考；其二，通信性能模型指出"多跳时每一级中继放大发射功率的同时也放大噪声底，第 n 跳速率随 n 恶化、多跳总误码率近似等于各跳误码率之和"，仿真显示 500 MHz、10% 带宽在 1000 米上仅约 18 kbps，而 200 THz、1% 带宽光通信可达约 0.7 Gbps——这正好支撑了我们将"跨喉道链路"视为容量/排队瓶颈、并对关键束做双路冗余的设计判断。</w:t>
      </w:r>
    </w:p>
    <w:p w14:paraId="48B25167">
      <w:pPr>
        <w:ind w:firstLine="300" w:firstLineChars="200"/>
        <w:jc w:val="both"/>
        <w:rPr>
          <w:rFonts w:hint="default" w:ascii="黑体" w:hAnsi="黑体" w:eastAsia="黑体" w:cs="黑体"/>
          <w:b w:val="0"/>
          <w:bCs w:val="0"/>
          <w:sz w:val="15"/>
          <w:szCs w:val="15"/>
          <w:lang w:val="en-US" w:eastAsia="zh-CN"/>
        </w:rPr>
      </w:pPr>
      <w:r>
        <w:rPr>
          <w:rFonts w:hint="default" w:ascii="黑体" w:hAnsi="黑体" w:eastAsia="黑体" w:cs="黑体"/>
          <w:b w:val="0"/>
          <w:bCs w:val="0"/>
          <w:sz w:val="15"/>
          <w:szCs w:val="15"/>
          <w:lang w:val="en-US" w:eastAsia="zh-CN"/>
        </w:rPr>
        <w:t>最后，它提出的"沿中继链无线激光供电"（每级把入射激光一部分转为自身电能、余下反射给下一级，以反射效率 R 与每级自存功率决定可传输距离）与我们"道钉电池供电、能量受限"的约束直接挂钩。这启发我们：节点的能量是可以沿链补充的，且存在一个可移动的母体节点（着陆器/火星车，即我们设计中的月球车）能主动去给低电量的割点/关键节点补电。这为我们 L1 的"月球车补位请求"和能量状态机里的充电逻辑提供了一个现实的物理依据——网络不仅能"自愈"，还能"续能"。可以说，本文把我们在协议层面的许多假设（多跳、能量、瓶颈、补电）从"合理设想"落到了"有数据支撑的工程结论"</w:t>
      </w:r>
    </w:p>
    <w:p w14:paraId="55D99297">
      <w:pPr>
        <w:ind w:firstLine="300" w:firstLineChars="200"/>
        <w:jc w:val="both"/>
        <w:rPr>
          <w:rFonts w:hint="eastAsia" w:ascii="黑体" w:hAnsi="黑体" w:eastAsia="黑体" w:cs="黑体"/>
          <w:b w:val="0"/>
          <w:bCs w:val="0"/>
          <w:sz w:val="15"/>
          <w:szCs w:val="15"/>
          <w:lang w:val="en-US" w:eastAsia="zh-CN"/>
        </w:rPr>
      </w:pPr>
    </w:p>
    <w:p w14:paraId="6F396B26">
      <w:pPr>
        <w:ind w:firstLine="300" w:firstLineChars="200"/>
        <w:jc w:val="both"/>
        <w:rPr>
          <w:rFonts w:hint="eastAsia" w:ascii="黑体" w:hAnsi="黑体" w:eastAsia="黑体" w:cs="黑体"/>
          <w:b w:val="0"/>
          <w:bCs w:val="0"/>
          <w:sz w:val="15"/>
          <w:szCs w:val="15"/>
          <w:lang w:val="en-US" w:eastAsia="zh-CN"/>
        </w:rPr>
      </w:pPr>
    </w:p>
    <w:p w14:paraId="7AE005E4">
      <w:pPr>
        <w:ind w:firstLine="300" w:firstLineChars="200"/>
        <w:jc w:val="both"/>
        <w:rPr>
          <w:rFonts w:hint="default" w:ascii="黑体" w:hAnsi="黑体" w:eastAsia="黑体" w:cs="黑体"/>
          <w:b w:val="0"/>
          <w:bCs w:val="0"/>
          <w:sz w:val="15"/>
          <w:szCs w:val="15"/>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16EEFE"/>
    <w:multiLevelType w:val="singleLevel"/>
    <w:tmpl w:val="0516EEFE"/>
    <w:lvl w:ilvl="0" w:tentative="0">
      <w:start w:val="1"/>
      <w:numFmt w:val="decimal"/>
      <w:suff w:val="nothing"/>
      <w:lvlText w:val="%1、"/>
      <w:lvlJc w:val="left"/>
      <w:pPr>
        <w:ind w:left="300" w:leftChars="0" w:firstLine="0" w:firstLineChars="0"/>
      </w:pPr>
    </w:lvl>
  </w:abstractNum>
  <w:abstractNum w:abstractNumId="1">
    <w:nsid w:val="39255E6E"/>
    <w:multiLevelType w:val="singleLevel"/>
    <w:tmpl w:val="39255E6E"/>
    <w:lvl w:ilvl="0" w:tentative="0">
      <w:start w:val="1"/>
      <w:numFmt w:val="decimal"/>
      <w:suff w:val="nothing"/>
      <w:lvlText w:val="（%1）"/>
      <w:lvlJc w:val="left"/>
    </w:lvl>
  </w:abstractNum>
  <w:abstractNum w:abstractNumId="2">
    <w:nsid w:val="3F513679"/>
    <w:multiLevelType w:val="singleLevel"/>
    <w:tmpl w:val="3F513679"/>
    <w:lvl w:ilvl="0" w:tentative="0">
      <w:start w:val="1"/>
      <w:numFmt w:val="decimal"/>
      <w:suff w:val="space"/>
      <w:lvlText w:val="(%1)"/>
      <w:lvlJc w:val="left"/>
    </w:lvl>
  </w:abstractNum>
  <w:abstractNum w:abstractNumId="3">
    <w:nsid w:val="53FFF718"/>
    <w:multiLevelType w:val="singleLevel"/>
    <w:tmpl w:val="53FFF718"/>
    <w:lvl w:ilvl="0" w:tentative="0">
      <w:start w:val="1"/>
      <w:numFmt w:val="decimal"/>
      <w:suff w:val="space"/>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C5431"/>
    <w:rsid w:val="139C438F"/>
    <w:rsid w:val="17352603"/>
    <w:rsid w:val="1BF4109B"/>
    <w:rsid w:val="1DC9508F"/>
    <w:rsid w:val="23B81110"/>
    <w:rsid w:val="23F66400"/>
    <w:rsid w:val="26330DE1"/>
    <w:rsid w:val="2BF65CED"/>
    <w:rsid w:val="372861FA"/>
    <w:rsid w:val="3D84681B"/>
    <w:rsid w:val="405E1500"/>
    <w:rsid w:val="517215A8"/>
    <w:rsid w:val="56BD100F"/>
    <w:rsid w:val="5A971D60"/>
    <w:rsid w:val="66C56EB2"/>
    <w:rsid w:val="6FBB02A0"/>
    <w:rsid w:val="7CBB1DFE"/>
    <w:rsid w:val="7D000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6834</Words>
  <Characters>7759</Characters>
  <Lines>0</Lines>
  <Paragraphs>0</Paragraphs>
  <TotalTime>12</TotalTime>
  <ScaleCrop>false</ScaleCrop>
  <LinksUpToDate>false</LinksUpToDate>
  <CharactersWithSpaces>7986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2026-09-02T07:52:00Z</dcterms:created>
  <dc:creator>16324</dc:creator>
  <cp:lastModifiedBy>秦奕扬(2025013618)</cp:lastModifiedBy>
  <dcterms:modified xsi:type="dcterms:W3CDTF">2026-09-04T03:57:35Z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eyJoZGlkIjoiMzExZTNiMTFhMTMyZjA5MjM5OTEyNWNkNWY2NGZjYmIiLCJ1c2VySWQiOiIxNzM0MDI5MDQ0In0=</vt:lpwstr>
  </property>
  <property fmtid="{D5CDD505-2E9C-101B-9397-08002B2CF9AE}" pid="4" name="ICV">
    <vt:lpwstr>F6101B10FA5441829B9B1086F3172B0E_12</vt:lpwstr>
  </property>
</Properties>
</file>