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46163" w14:textId="77777777" w:rsidR="00D62814" w:rsidRDefault="00D62814" w:rsidP="00D62814">
      <w:r>
        <w:t xml:space="preserve">Dear </w:t>
      </w:r>
      <w:proofErr w:type="spellStart"/>
      <w:r>
        <w:t>Mr</w:t>
      </w:r>
      <w:proofErr w:type="spellEnd"/>
      <w:r>
        <w:t xml:space="preserve">/ </w:t>
      </w:r>
      <w:proofErr w:type="spellStart"/>
      <w:r>
        <w:t>Ms</w:t>
      </w:r>
      <w:proofErr w:type="spellEnd"/>
      <w:r>
        <w:t xml:space="preserve">/ </w:t>
      </w:r>
      <w:proofErr w:type="spellStart"/>
      <w:r>
        <w:t>Mdm</w:t>
      </w:r>
      <w:proofErr w:type="spellEnd"/>
      <w:r>
        <w:t xml:space="preserve"> &lt;Customer Name&gt;,</w:t>
      </w:r>
    </w:p>
    <w:p w14:paraId="5268ECCE" w14:textId="77777777" w:rsidR="00D62814" w:rsidRDefault="00D62814" w:rsidP="00D62814"/>
    <w:p w14:paraId="1E516C83" w14:textId="77777777" w:rsidR="00D62814" w:rsidRDefault="00D62814" w:rsidP="00D62814">
      <w:r>
        <w:t>Hope this finds you well.</w:t>
      </w:r>
    </w:p>
    <w:p w14:paraId="34BC909E" w14:textId="77777777" w:rsidR="00D62814" w:rsidRDefault="00D62814" w:rsidP="00D62814"/>
    <w:p w14:paraId="4104CBA0" w14:textId="77777777" w:rsidR="00D62814" w:rsidRDefault="00D62814" w:rsidP="00D62814">
      <w:r>
        <w:t>I would like to take this opportunity to share the following piece of information.</w:t>
      </w:r>
    </w:p>
    <w:p w14:paraId="700484E0" w14:textId="77777777" w:rsidR="00D62814" w:rsidRDefault="00D62814" w:rsidP="00D62814"/>
    <w:p w14:paraId="786A77B6" w14:textId="77777777" w:rsidR="00D62814" w:rsidRDefault="00D62814" w:rsidP="00D62814">
      <w:r>
        <w:t>Do you know that…</w:t>
      </w:r>
    </w:p>
    <w:p w14:paraId="277F8884" w14:textId="77777777" w:rsidR="00D62814" w:rsidRDefault="00D62814" w:rsidP="00D62814">
      <w:pPr>
        <w:pStyle w:val="ListParagraph"/>
        <w:numPr>
          <w:ilvl w:val="0"/>
          <w:numId w:val="1"/>
        </w:numPr>
        <w:spacing w:after="200" w:line="276" w:lineRule="auto"/>
        <w:contextualSpacing/>
      </w:pPr>
      <w:proofErr w:type="gramStart"/>
      <w:r>
        <w:t>there</w:t>
      </w:r>
      <w:proofErr w:type="gramEnd"/>
      <w:r>
        <w:t xml:space="preserve"> were 4,136 incidents of fire reported in 2013. </w:t>
      </w:r>
    </w:p>
    <w:p w14:paraId="62A4EC1E" w14:textId="77777777" w:rsidR="00D62814" w:rsidRDefault="00D62814" w:rsidP="00D62814">
      <w:pPr>
        <w:pStyle w:val="ListParagraph"/>
        <w:numPr>
          <w:ilvl w:val="0"/>
          <w:numId w:val="1"/>
        </w:numPr>
        <w:spacing w:after="200" w:line="276" w:lineRule="auto"/>
        <w:contextualSpacing/>
      </w:pPr>
      <w:r>
        <w:t>2,952 incidents (or 71.4%) involved residential premises.</w:t>
      </w:r>
    </w:p>
    <w:tbl>
      <w:tblPr>
        <w:tblW w:w="0" w:type="auto"/>
        <w:tblCellMar>
          <w:left w:w="0" w:type="dxa"/>
          <w:right w:w="0" w:type="dxa"/>
        </w:tblCellMar>
        <w:tblLook w:val="04A0" w:firstRow="1" w:lastRow="0" w:firstColumn="1" w:lastColumn="0" w:noHBand="0" w:noVBand="1"/>
      </w:tblPr>
      <w:tblGrid>
        <w:gridCol w:w="3348"/>
        <w:gridCol w:w="1890"/>
      </w:tblGrid>
      <w:tr w:rsidR="00D62814" w14:paraId="2F51F459" w14:textId="77777777" w:rsidTr="00D62814">
        <w:trPr>
          <w:trHeight w:val="280"/>
        </w:trPr>
        <w:tc>
          <w:tcPr>
            <w:tcW w:w="33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0335A1" w14:textId="77777777" w:rsidR="00D62814" w:rsidRDefault="00D62814">
            <w:pPr>
              <w:pStyle w:val="Default"/>
              <w:spacing w:line="276" w:lineRule="auto"/>
              <w:rPr>
                <w:rFonts w:ascii="Calibri" w:hAnsi="Calibri" w:cs="Calibri"/>
                <w:sz w:val="22"/>
                <w:szCs w:val="22"/>
              </w:rPr>
            </w:pPr>
            <w:r>
              <w:rPr>
                <w:rFonts w:ascii="Calibri" w:hAnsi="Calibri" w:cs="Calibri"/>
                <w:b/>
                <w:bCs/>
                <w:sz w:val="22"/>
                <w:szCs w:val="22"/>
              </w:rPr>
              <w:t xml:space="preserve">Fires in Residential Premises </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22D4F8F" w14:textId="77777777" w:rsidR="00D62814" w:rsidRDefault="00D62814">
            <w:pPr>
              <w:pStyle w:val="Default"/>
              <w:spacing w:line="276" w:lineRule="auto"/>
              <w:jc w:val="center"/>
              <w:rPr>
                <w:rFonts w:ascii="Calibri" w:hAnsi="Calibri" w:cs="Calibri"/>
                <w:sz w:val="22"/>
                <w:szCs w:val="22"/>
              </w:rPr>
            </w:pPr>
            <w:r>
              <w:rPr>
                <w:rFonts w:ascii="Calibri" w:hAnsi="Calibri" w:cs="Calibri"/>
                <w:b/>
                <w:bCs/>
                <w:sz w:val="22"/>
                <w:szCs w:val="22"/>
              </w:rPr>
              <w:t>Jan - Dec 2013</w:t>
            </w:r>
          </w:p>
        </w:tc>
      </w:tr>
      <w:tr w:rsidR="00D62814" w14:paraId="5F90002E" w14:textId="77777777" w:rsidTr="00D62814">
        <w:trPr>
          <w:trHeight w:val="146"/>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17B42C" w14:textId="77777777" w:rsidR="00D62814" w:rsidRDefault="00D62814">
            <w:pPr>
              <w:pStyle w:val="Default"/>
              <w:spacing w:line="276" w:lineRule="auto"/>
              <w:rPr>
                <w:rFonts w:ascii="Calibri" w:hAnsi="Calibri" w:cs="Calibri"/>
                <w:sz w:val="22"/>
                <w:szCs w:val="22"/>
              </w:rPr>
            </w:pPr>
            <w:r>
              <w:rPr>
                <w:rFonts w:ascii="Calibri" w:hAnsi="Calibri" w:cs="Calibri"/>
                <w:sz w:val="22"/>
                <w:szCs w:val="22"/>
              </w:rPr>
              <w:t xml:space="preserve">Rubbish (Rubbish Chute/Bin) </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6804E2" w14:textId="77777777" w:rsidR="00D62814" w:rsidRDefault="00D62814">
            <w:pPr>
              <w:pStyle w:val="Default"/>
              <w:spacing w:line="276" w:lineRule="auto"/>
              <w:jc w:val="center"/>
              <w:rPr>
                <w:rFonts w:ascii="Calibri" w:hAnsi="Calibri" w:cs="Calibri"/>
                <w:sz w:val="22"/>
                <w:szCs w:val="22"/>
              </w:rPr>
            </w:pPr>
            <w:r>
              <w:rPr>
                <w:rFonts w:ascii="Calibri" w:hAnsi="Calibri" w:cs="Calibri"/>
                <w:sz w:val="22"/>
                <w:szCs w:val="22"/>
              </w:rPr>
              <w:t>1,289</w:t>
            </w:r>
          </w:p>
        </w:tc>
      </w:tr>
      <w:tr w:rsidR="00D62814" w14:paraId="53DE68E4" w14:textId="77777777" w:rsidTr="00D62814">
        <w:trPr>
          <w:trHeight w:val="146"/>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63D9C0" w14:textId="77777777" w:rsidR="00D62814" w:rsidRDefault="00D62814">
            <w:pPr>
              <w:pStyle w:val="Default"/>
              <w:spacing w:line="276" w:lineRule="auto"/>
              <w:rPr>
                <w:rFonts w:ascii="Calibri" w:hAnsi="Calibri" w:cs="Calibri"/>
                <w:sz w:val="22"/>
                <w:szCs w:val="22"/>
              </w:rPr>
            </w:pPr>
            <w:r>
              <w:rPr>
                <w:rFonts w:ascii="Calibri" w:hAnsi="Calibri" w:cs="Calibri"/>
                <w:sz w:val="22"/>
                <w:szCs w:val="22"/>
              </w:rPr>
              <w:t xml:space="preserve">Discarded Items </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A569F3" w14:textId="77777777" w:rsidR="00D62814" w:rsidRDefault="00D62814">
            <w:pPr>
              <w:pStyle w:val="Default"/>
              <w:spacing w:line="276" w:lineRule="auto"/>
              <w:jc w:val="center"/>
              <w:rPr>
                <w:rFonts w:ascii="Calibri" w:hAnsi="Calibri" w:cs="Calibri"/>
                <w:sz w:val="22"/>
                <w:szCs w:val="22"/>
              </w:rPr>
            </w:pPr>
            <w:r>
              <w:rPr>
                <w:rFonts w:ascii="Calibri" w:hAnsi="Calibri" w:cs="Calibri"/>
                <w:sz w:val="22"/>
                <w:szCs w:val="22"/>
              </w:rPr>
              <w:t>595</w:t>
            </w:r>
          </w:p>
        </w:tc>
      </w:tr>
      <w:tr w:rsidR="00D62814" w14:paraId="3D79C894" w14:textId="77777777" w:rsidTr="00D62814">
        <w:trPr>
          <w:trHeight w:val="146"/>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6AD5F6" w14:textId="77777777" w:rsidR="00D62814" w:rsidRDefault="00D62814">
            <w:pPr>
              <w:pStyle w:val="Default"/>
              <w:spacing w:line="276" w:lineRule="auto"/>
              <w:rPr>
                <w:rFonts w:ascii="Calibri" w:hAnsi="Calibri" w:cs="Calibri"/>
                <w:sz w:val="22"/>
                <w:szCs w:val="22"/>
              </w:rPr>
            </w:pPr>
            <w:r>
              <w:rPr>
                <w:rFonts w:ascii="Calibri" w:hAnsi="Calibri" w:cs="Calibri"/>
                <w:sz w:val="22"/>
                <w:szCs w:val="22"/>
              </w:rPr>
              <w:t xml:space="preserve">Unattended Cooking </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9EFDC2" w14:textId="77777777" w:rsidR="00D62814" w:rsidRDefault="00D62814">
            <w:pPr>
              <w:pStyle w:val="Default"/>
              <w:spacing w:line="276" w:lineRule="auto"/>
              <w:jc w:val="center"/>
              <w:rPr>
                <w:rFonts w:ascii="Calibri" w:hAnsi="Calibri" w:cs="Calibri"/>
                <w:sz w:val="22"/>
                <w:szCs w:val="22"/>
              </w:rPr>
            </w:pPr>
            <w:r>
              <w:rPr>
                <w:rFonts w:ascii="Calibri" w:hAnsi="Calibri" w:cs="Calibri"/>
                <w:sz w:val="22"/>
                <w:szCs w:val="22"/>
              </w:rPr>
              <w:t>405</w:t>
            </w:r>
          </w:p>
        </w:tc>
      </w:tr>
      <w:tr w:rsidR="00D62814" w14:paraId="254B6BB7" w14:textId="77777777" w:rsidTr="00D62814">
        <w:trPr>
          <w:trHeight w:val="146"/>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10AC16" w14:textId="77777777" w:rsidR="00D62814" w:rsidRDefault="00D62814">
            <w:pPr>
              <w:pStyle w:val="Default"/>
              <w:spacing w:line="276" w:lineRule="auto"/>
              <w:rPr>
                <w:rFonts w:ascii="Calibri" w:hAnsi="Calibri" w:cs="Calibri"/>
                <w:sz w:val="22"/>
                <w:szCs w:val="22"/>
              </w:rPr>
            </w:pPr>
            <w:r>
              <w:rPr>
                <w:rFonts w:ascii="Calibri" w:hAnsi="Calibri" w:cs="Calibri"/>
                <w:sz w:val="22"/>
                <w:szCs w:val="22"/>
              </w:rPr>
              <w:t xml:space="preserve">Household Contents </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A68510" w14:textId="77777777" w:rsidR="00D62814" w:rsidRDefault="00D62814">
            <w:pPr>
              <w:pStyle w:val="Default"/>
              <w:spacing w:line="276" w:lineRule="auto"/>
              <w:jc w:val="center"/>
              <w:rPr>
                <w:rFonts w:ascii="Calibri" w:hAnsi="Calibri" w:cs="Calibri"/>
                <w:sz w:val="22"/>
                <w:szCs w:val="22"/>
              </w:rPr>
            </w:pPr>
            <w:r>
              <w:rPr>
                <w:rFonts w:ascii="Calibri" w:hAnsi="Calibri" w:cs="Calibri"/>
                <w:sz w:val="22"/>
                <w:szCs w:val="22"/>
              </w:rPr>
              <w:t>246</w:t>
            </w:r>
          </w:p>
        </w:tc>
      </w:tr>
      <w:tr w:rsidR="00D62814" w14:paraId="4D5812E6" w14:textId="77777777" w:rsidTr="00D62814">
        <w:trPr>
          <w:trHeight w:val="146"/>
        </w:trPr>
        <w:tc>
          <w:tcPr>
            <w:tcW w:w="33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700819" w14:textId="77777777" w:rsidR="00D62814" w:rsidRDefault="00D62814">
            <w:pPr>
              <w:pStyle w:val="Default"/>
              <w:spacing w:line="276" w:lineRule="auto"/>
              <w:rPr>
                <w:rFonts w:ascii="Calibri" w:hAnsi="Calibri" w:cs="Calibri"/>
                <w:sz w:val="22"/>
                <w:szCs w:val="22"/>
              </w:rPr>
            </w:pPr>
            <w:r>
              <w:rPr>
                <w:rFonts w:ascii="Calibri" w:hAnsi="Calibri" w:cs="Calibri"/>
                <w:sz w:val="22"/>
                <w:szCs w:val="22"/>
              </w:rPr>
              <w:t xml:space="preserve">Electrical </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F37EE6" w14:textId="77777777" w:rsidR="00D62814" w:rsidRDefault="00D62814">
            <w:pPr>
              <w:pStyle w:val="Default"/>
              <w:spacing w:line="276" w:lineRule="auto"/>
              <w:jc w:val="center"/>
              <w:rPr>
                <w:rFonts w:ascii="Calibri" w:hAnsi="Calibri" w:cs="Calibri"/>
                <w:sz w:val="22"/>
                <w:szCs w:val="22"/>
              </w:rPr>
            </w:pPr>
            <w:r>
              <w:rPr>
                <w:rFonts w:ascii="Calibri" w:hAnsi="Calibri" w:cs="Calibri"/>
                <w:sz w:val="22"/>
                <w:szCs w:val="22"/>
              </w:rPr>
              <w:t>204</w:t>
            </w:r>
          </w:p>
        </w:tc>
      </w:tr>
    </w:tbl>
    <w:p w14:paraId="46D9D71F" w14:textId="77777777" w:rsidR="00D62814" w:rsidRDefault="00D62814" w:rsidP="00D62814">
      <w:r>
        <w:t xml:space="preserve">(Source: Singapore Civil </w:t>
      </w:r>
      <w:proofErr w:type="spellStart"/>
      <w:r>
        <w:t>Defence</w:t>
      </w:r>
      <w:proofErr w:type="spellEnd"/>
      <w:r>
        <w:t xml:space="preserve"> website)</w:t>
      </w:r>
    </w:p>
    <w:p w14:paraId="2E1EAABC" w14:textId="77777777" w:rsidR="00D62814" w:rsidRDefault="00D62814" w:rsidP="00D62814"/>
    <w:p w14:paraId="6988CC68" w14:textId="77777777" w:rsidR="00D62814" w:rsidRDefault="00D62814" w:rsidP="00D62814">
      <w:r>
        <w:t xml:space="preserve">Accidents are unforeseen and may strike when we least expect it. In such an unfortunate event, we face huge expenses for renovating and purchasing of new contents such as Television and washing machine. </w:t>
      </w:r>
    </w:p>
    <w:p w14:paraId="40169104" w14:textId="77777777" w:rsidR="00D62814" w:rsidRDefault="00D62814" w:rsidP="00D62814"/>
    <w:p w14:paraId="3CC61B1F" w14:textId="77777777" w:rsidR="00D62814" w:rsidRDefault="00D62814" w:rsidP="00D62814">
      <w:r>
        <w:t xml:space="preserve">I can never </w:t>
      </w:r>
      <w:proofErr w:type="spellStart"/>
      <w:r>
        <w:t>emphasise</w:t>
      </w:r>
      <w:proofErr w:type="spellEnd"/>
      <w:r>
        <w:t xml:space="preserve"> enough the importance of ensuring that we are well insured to provide us with a peace of mind and to help us defray the costs that we may possibly incur in such an event.</w:t>
      </w:r>
    </w:p>
    <w:p w14:paraId="170B57D8" w14:textId="77777777" w:rsidR="00D62814" w:rsidRDefault="00D62814" w:rsidP="00D62814"/>
    <w:p w14:paraId="2935BC4E" w14:textId="77777777" w:rsidR="00D62814" w:rsidRDefault="00D62814" w:rsidP="00D62814">
      <w:r>
        <w:t>At AIG, we have several home contents insurance plans for different needs. I am also pleased to share some of our plan’s benefits which are more than simply coverage for your home contents:</w:t>
      </w:r>
    </w:p>
    <w:p w14:paraId="0D85D714" w14:textId="77777777" w:rsidR="00D62814" w:rsidRDefault="00D62814" w:rsidP="00D62814">
      <w:r>
        <w:t>- Alternative accommodation in the event the property is under renovation and repair as a result of a loss incident</w:t>
      </w:r>
    </w:p>
    <w:p w14:paraId="6298CC77" w14:textId="77777777" w:rsidR="00D62814" w:rsidRDefault="00D62814" w:rsidP="00D62814">
      <w:r>
        <w:t>- Worldwide identity fraud</w:t>
      </w:r>
    </w:p>
    <w:p w14:paraId="1AE8E5E5" w14:textId="77777777" w:rsidR="00D62814" w:rsidRDefault="00D62814" w:rsidP="00D62814">
      <w:r>
        <w:t xml:space="preserve">- Worldwide ATM Assault </w:t>
      </w:r>
    </w:p>
    <w:p w14:paraId="73C854E9" w14:textId="77777777" w:rsidR="00D62814" w:rsidRDefault="00D62814" w:rsidP="00D62814"/>
    <w:p w14:paraId="676E5CDD" w14:textId="77777777" w:rsidR="00D62814" w:rsidRDefault="00D62814" w:rsidP="00D62814">
      <w:r>
        <w:t>Feel free to contact me should you like to know more about the products and I will be more than willing to recommend a plan catered to your needs.</w:t>
      </w:r>
    </w:p>
    <w:p w14:paraId="0FED6B9F" w14:textId="77777777" w:rsidR="00144121" w:rsidRDefault="00144121"/>
    <w:sectPr w:rsidR="00144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D72244"/>
    <w:multiLevelType w:val="hybridMultilevel"/>
    <w:tmpl w:val="8AE27D22"/>
    <w:lvl w:ilvl="0" w:tplc="A400202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2384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814"/>
    <w:rsid w:val="00037875"/>
    <w:rsid w:val="00144121"/>
    <w:rsid w:val="00872CBA"/>
    <w:rsid w:val="00944A1A"/>
    <w:rsid w:val="009C623C"/>
    <w:rsid w:val="00D62814"/>
    <w:rsid w:val="00FB1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88480"/>
  <w15:docId w15:val="{62EB9F06-6979-4D2B-A807-2ECE57CE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81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814"/>
    <w:pPr>
      <w:ind w:left="720"/>
    </w:pPr>
  </w:style>
  <w:style w:type="paragraph" w:customStyle="1" w:styleId="Default">
    <w:name w:val="Default"/>
    <w:basedOn w:val="Normal"/>
    <w:rsid w:val="00D62814"/>
    <w:pPr>
      <w:autoSpaceDE w:val="0"/>
      <w:autoSpaceDN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198</Words>
  <Characters>1199</Characters>
  <Application>Microsoft Office Word</Application>
  <DocSecurity>0</DocSecurity>
  <Lines>57</Lines>
  <Paragraphs>41</Paragraphs>
  <ScaleCrop>false</ScaleCrop>
  <HeadingPairs>
    <vt:vector size="2" baseType="variant">
      <vt:variant>
        <vt:lpstr>Title</vt:lpstr>
      </vt:variant>
      <vt:variant>
        <vt:i4>1</vt:i4>
      </vt:variant>
    </vt:vector>
  </HeadingPairs>
  <TitlesOfParts>
    <vt:vector size="1" baseType="lpstr">
      <vt:lpstr/>
    </vt:vector>
  </TitlesOfParts>
  <Company>AIG Asia Pacific Insurance Pte. Ltd.</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Clein</dc:creator>
  <cp:keywords/>
  <dc:description/>
  <cp:lastModifiedBy>Bao Yinjia</cp:lastModifiedBy>
  <cp:revision>3</cp:revision>
  <cp:lastPrinted>2025-05-16T02:32:00Z</cp:lastPrinted>
  <dcterms:created xsi:type="dcterms:W3CDTF">2014-04-10T07:05:00Z</dcterms:created>
  <dcterms:modified xsi:type="dcterms:W3CDTF">2025-05-16T02:57:00Z</dcterms:modified>
</cp:coreProperties>
</file>