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ind/>
        <w:jc w:val="left"/>
        <w:rPr>
          <w:b w:val="1"/>
        </w:rPr>
      </w:pPr>
      <w:r>
        <w:rPr>
          <w:b w:val="1"/>
        </w:rPr>
        <w:t>С#</w:t>
      </w:r>
    </w:p>
    <w:p w14:paraId="02000000">
      <w:pPr>
        <w:ind w:firstLine="0" w:left="-709"/>
        <w:jc w:val="left"/>
      </w:pPr>
    </w:p>
    <w:p w14:paraId="03000000">
      <w:pPr>
        <w:ind/>
        <w:jc w:val="left"/>
      </w:pPr>
      <w:r>
        <w:drawing>
          <wp:inline>
            <wp:extent cx="6000749" cy="3201865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000749" cy="32018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4000000">
      <w:pPr>
        <w:numPr>
          <w:ilvl w:val="0"/>
          <w:numId w:val="1"/>
        </w:numPr>
        <w:ind/>
        <w:jc w:val="left"/>
      </w:pPr>
      <w:r>
        <w:t>Установка VS:</w:t>
      </w:r>
    </w:p>
    <w:p w14:paraId="05000000">
      <w:pPr>
        <w:numPr>
          <w:ilvl w:val="1"/>
          <w:numId w:val="1"/>
        </w:numPr>
        <w:ind/>
        <w:jc w:val="left"/>
      </w:pPr>
      <w:r>
        <w:t>Разработка классических приложений .NET</w:t>
      </w:r>
    </w:p>
    <w:p w14:paraId="06000000">
      <w:pPr>
        <w:numPr>
          <w:ilvl w:val="1"/>
          <w:numId w:val="1"/>
        </w:numPr>
        <w:ind/>
        <w:jc w:val="left"/>
      </w:pPr>
      <w:r>
        <w:t>ASP.NET и разработка веб приложений</w:t>
      </w:r>
    </w:p>
    <w:p w14:paraId="07000000">
      <w:pPr>
        <w:numPr>
          <w:ilvl w:val="1"/>
          <w:numId w:val="1"/>
        </w:numPr>
        <w:ind/>
        <w:jc w:val="left"/>
      </w:pPr>
      <w:r>
        <w:t>Кроссплатформенная разработка .NET</w:t>
      </w:r>
    </w:p>
    <w:p w14:paraId="08000000">
      <w:pPr>
        <w:numPr>
          <w:ilvl w:val="0"/>
          <w:numId w:val="1"/>
        </w:numPr>
        <w:ind/>
        <w:jc w:val="left"/>
      </w:pPr>
      <w:r>
        <w:t xml:space="preserve">///автоматическая генерация шаблона для описания – </w:t>
      </w:r>
      <w:r>
        <w:t>хэлпа</w:t>
      </w:r>
    </w:p>
    <w:p w14:paraId="09000000">
      <w:pPr>
        <w:numPr>
          <w:ilvl w:val="0"/>
          <w:numId w:val="1"/>
        </w:numPr>
        <w:ind/>
        <w:jc w:val="left"/>
      </w:pPr>
      <w:r>
        <w:t xml:space="preserve">Пересобрать проект – В </w:t>
      </w:r>
      <w:r>
        <w:t>редении</w:t>
      </w:r>
      <w:r>
        <w:t xml:space="preserve"> </w:t>
      </w:r>
      <w:r>
        <w:t>правойкнопкой</w:t>
      </w:r>
      <w:r>
        <w:t xml:space="preserve"> по проекту</w:t>
      </w:r>
    </w:p>
    <w:p w14:paraId="0A000000">
      <w:pPr>
        <w:numPr>
          <w:ilvl w:val="0"/>
          <w:numId w:val="1"/>
        </w:numPr>
        <w:ind/>
        <w:jc w:val="left"/>
      </w:pPr>
      <w:r>
        <w:t xml:space="preserve">Шрифт </w:t>
      </w:r>
      <w:r>
        <w:t xml:space="preserve">редактора в </w:t>
      </w:r>
      <w:r>
        <w:t>Средсва</w:t>
      </w:r>
      <w:r>
        <w:t>-параметры-</w:t>
      </w:r>
      <w:r>
        <w:t>окружени</w:t>
      </w:r>
      <w:r>
        <w:t xml:space="preserve"> и внизу шрифты</w:t>
      </w:r>
    </w:p>
    <w:p w14:paraId="0B000000">
      <w:pPr>
        <w:numPr>
          <w:ilvl w:val="0"/>
          <w:numId w:val="1"/>
        </w:numPr>
        <w:ind/>
        <w:jc w:val="left"/>
      </w:pPr>
      <w:r>
        <w:t xml:space="preserve">2.4 Переменные, типы данных </w:t>
      </w:r>
    </w:p>
    <w:p w14:paraId="0C000000">
      <w:pPr>
        <w:numPr>
          <w:ilvl w:val="1"/>
          <w:numId w:val="1"/>
        </w:numPr>
        <w:ind/>
        <w:jc w:val="left"/>
      </w:pPr>
      <w:r>
        <w:t>int</w:t>
      </w:r>
      <w:r>
        <w:t xml:space="preserve"> _</w:t>
      </w:r>
      <w:r>
        <w:t>number</w:t>
      </w:r>
      <w:r>
        <w:t xml:space="preserve"> = 1_000_000_000; _ – не сказывается на числе</w:t>
      </w:r>
    </w:p>
    <w:p w14:paraId="0D000000">
      <w:pPr>
        <w:numPr>
          <w:ilvl w:val="1"/>
          <w:numId w:val="1"/>
        </w:numPr>
        <w:ind/>
        <w:jc w:val="left"/>
      </w:pPr>
      <w:r>
        <w:t xml:space="preserve">float – </w:t>
      </w:r>
      <w:r>
        <w:t>4.13</w:t>
      </w:r>
      <w:r>
        <w:t xml:space="preserve">F  </w:t>
      </w:r>
      <w:r>
        <w:t>точность 7 цифр</w:t>
      </w:r>
    </w:p>
    <w:p w14:paraId="0E000000">
      <w:pPr>
        <w:numPr>
          <w:ilvl w:val="1"/>
          <w:numId w:val="1"/>
        </w:numPr>
        <w:ind/>
        <w:jc w:val="left"/>
      </w:pPr>
      <w:r>
        <w:t xml:space="preserve">double – </w:t>
      </w:r>
      <w:r>
        <w:t>4.13</w:t>
      </w:r>
      <w:r>
        <w:t>D</w:t>
      </w:r>
      <w:r>
        <w:t xml:space="preserve"> точность 15 </w:t>
      </w:r>
      <w:r>
        <w:t>цифр</w:t>
      </w:r>
    </w:p>
    <w:p w14:paraId="0F000000">
      <w:pPr>
        <w:numPr>
          <w:ilvl w:val="1"/>
          <w:numId w:val="1"/>
        </w:numPr>
        <w:ind/>
        <w:jc w:val="left"/>
      </w:pPr>
      <w:r>
        <w:t>decimal –</w:t>
      </w:r>
      <w:r>
        <w:t xml:space="preserve"> </w:t>
      </w:r>
      <w:r>
        <w:t>4.13</w:t>
      </w:r>
      <w:r>
        <w:t>M</w:t>
      </w:r>
      <w:r>
        <w:t xml:space="preserve"> точность 28</w:t>
      </w:r>
      <w:r>
        <w:t xml:space="preserve"> </w:t>
      </w:r>
      <w:r>
        <w:t>цифр</w:t>
      </w:r>
    </w:p>
    <w:p w14:paraId="10000000">
      <w:pPr>
        <w:numPr>
          <w:ilvl w:val="0"/>
          <w:numId w:val="1"/>
        </w:numPr>
        <w:ind/>
        <w:jc w:val="left"/>
      </w:pPr>
      <w:r>
        <w:drawing>
          <wp:inline>
            <wp:extent cx="5393474" cy="1294791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393474" cy="129479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1000000">
      <w:pPr>
        <w:numPr>
          <w:ilvl w:val="0"/>
          <w:numId w:val="1"/>
        </w:numPr>
        <w:ind/>
        <w:jc w:val="left"/>
      </w:pPr>
    </w:p>
    <w:p w14:paraId="12000000">
      <w:pPr>
        <w:numPr>
          <w:ilvl w:val="0"/>
          <w:numId w:val="1"/>
        </w:numPr>
        <w:ind/>
        <w:jc w:val="left"/>
      </w:pPr>
      <w:r>
        <w:drawing>
          <wp:inline>
            <wp:extent cx="5608727" cy="1228953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608727" cy="122895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3000000">
      <w:pPr>
        <w:numPr>
          <w:ilvl w:val="0"/>
          <w:numId w:val="1"/>
        </w:numPr>
        <w:ind/>
        <w:jc w:val="left"/>
      </w:pPr>
      <w:r>
        <w:drawing>
          <wp:inline>
            <wp:extent cx="2927350" cy="1423017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2927350" cy="142301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4000000">
      <w:pPr>
        <w:ind w:firstLine="0" w:left="720"/>
        <w:jc w:val="left"/>
      </w:pPr>
    </w:p>
    <w:p w14:paraId="15000000">
      <w:pPr>
        <w:numPr>
          <w:ilvl w:val="0"/>
          <w:numId w:val="1"/>
        </w:numPr>
        <w:ind/>
        <w:jc w:val="left"/>
      </w:pPr>
      <w:r>
        <w:drawing>
          <wp:inline>
            <wp:extent cx="3164935" cy="1231900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3164935" cy="12319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6000000">
      <w:pPr>
        <w:pStyle w:val="Style_1"/>
      </w:pPr>
    </w:p>
    <w:p w14:paraId="17000000">
      <w:pPr>
        <w:numPr>
          <w:ilvl w:val="0"/>
          <w:numId w:val="1"/>
        </w:numPr>
        <w:ind/>
        <w:jc w:val="left"/>
      </w:pPr>
      <w:r>
        <w:drawing>
          <wp:inline>
            <wp:extent cx="3255264" cy="939588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3255264" cy="93958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8000000">
      <w:pPr>
        <w:pStyle w:val="Style_1"/>
      </w:pPr>
    </w:p>
    <w:p w14:paraId="19000000">
      <w:pPr>
        <w:numPr>
          <w:ilvl w:val="0"/>
          <w:numId w:val="1"/>
        </w:numPr>
        <w:ind/>
        <w:jc w:val="left"/>
      </w:pPr>
      <w:r>
        <w:drawing>
          <wp:inline>
            <wp:extent cx="4490113" cy="2486269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4490113" cy="24862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A000000">
      <w:pPr>
        <w:pStyle w:val="Style_1"/>
      </w:pPr>
    </w:p>
    <w:p w14:paraId="1B000000">
      <w:pPr>
        <w:numPr>
          <w:ilvl w:val="0"/>
          <w:numId w:val="1"/>
        </w:numPr>
        <w:ind/>
        <w:jc w:val="left"/>
      </w:pPr>
      <w:r>
        <w:drawing>
          <wp:inline>
            <wp:extent cx="3496666" cy="1970042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3496666" cy="197004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C000000">
      <w:pPr>
        <w:pStyle w:val="Style_1"/>
      </w:pPr>
    </w:p>
    <w:p w14:paraId="1D000000">
      <w:pPr>
        <w:numPr>
          <w:ilvl w:val="0"/>
          <w:numId w:val="1"/>
        </w:numPr>
        <w:ind/>
        <w:jc w:val="left"/>
      </w:pPr>
      <w:r>
        <w:drawing>
          <wp:inline>
            <wp:extent cx="3423514" cy="2769834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3423514" cy="276983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E000000">
      <w:pPr>
        <w:pStyle w:val="Style_1"/>
      </w:pPr>
    </w:p>
    <w:p w14:paraId="1F000000">
      <w:pPr>
        <w:numPr>
          <w:ilvl w:val="0"/>
          <w:numId w:val="1"/>
        </w:numPr>
        <w:ind/>
        <w:jc w:val="left"/>
      </w:pPr>
      <w:r>
        <w:drawing>
          <wp:inline>
            <wp:extent cx="3979469" cy="1666794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3979469" cy="166679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0000000">
      <w:pPr>
        <w:pStyle w:val="Style_1"/>
      </w:pPr>
    </w:p>
    <w:p w14:paraId="21000000">
      <w:pPr>
        <w:numPr>
          <w:ilvl w:val="0"/>
          <w:numId w:val="1"/>
        </w:numPr>
        <w:ind/>
        <w:jc w:val="left"/>
      </w:pPr>
      <w:r>
        <w:drawing>
          <wp:inline>
            <wp:extent cx="3877056" cy="1738251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3877056" cy="173825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2000000">
      <w:pPr>
        <w:numPr>
          <w:ilvl w:val="0"/>
          <w:numId w:val="1"/>
        </w:numPr>
        <w:ind/>
        <w:jc w:val="left"/>
      </w:pPr>
    </w:p>
    <w:p w14:paraId="23000000">
      <w:pPr>
        <w:pStyle w:val="Style_1"/>
      </w:pPr>
    </w:p>
    <w:p w14:paraId="24000000">
      <w:pPr>
        <w:numPr>
          <w:ilvl w:val="0"/>
          <w:numId w:val="1"/>
        </w:numPr>
        <w:ind/>
        <w:jc w:val="left"/>
      </w:pPr>
      <w:r>
        <w:drawing>
          <wp:inline>
            <wp:extent cx="3877056" cy="2143530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3877056" cy="214353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5000000">
      <w:pPr>
        <w:pStyle w:val="Style_1"/>
      </w:pPr>
    </w:p>
    <w:p w14:paraId="26000000">
      <w:pPr>
        <w:numPr>
          <w:ilvl w:val="0"/>
          <w:numId w:val="1"/>
        </w:numPr>
        <w:ind/>
        <w:jc w:val="left"/>
      </w:pPr>
      <w:r>
        <w:t xml:space="preserve">Поставить курсор на </w:t>
      </w:r>
      <w:r>
        <w:t>Convert</w:t>
      </w:r>
      <w:r>
        <w:t xml:space="preserve"> и нажать </w:t>
      </w:r>
      <w:r>
        <w:t>F</w:t>
      </w:r>
      <w:r>
        <w:t>12</w:t>
      </w:r>
      <w:r>
        <w:t>. Покажутся встроенные методы.</w:t>
      </w:r>
    </w:p>
    <w:p w14:paraId="27000000">
      <w:pPr>
        <w:pStyle w:val="Style_1"/>
      </w:pPr>
    </w:p>
    <w:p w14:paraId="28000000">
      <w:pPr>
        <w:numPr>
          <w:ilvl w:val="0"/>
          <w:numId w:val="1"/>
        </w:numPr>
        <w:ind/>
        <w:jc w:val="left"/>
      </w:pPr>
      <w:r>
        <w:t xml:space="preserve">Выделить тип и нажать </w:t>
      </w:r>
      <w:r>
        <w:t>F</w:t>
      </w:r>
      <w:r>
        <w:t>1</w:t>
      </w:r>
      <w:r>
        <w:t xml:space="preserve"> – покажется соответствие в </w:t>
      </w:r>
      <w:r>
        <w:t>дот</w:t>
      </w:r>
      <w:r>
        <w:t>.н</w:t>
      </w:r>
      <w:r>
        <w:t>ете</w:t>
      </w:r>
    </w:p>
    <w:p w14:paraId="29000000">
      <w:pPr>
        <w:pStyle w:val="Style_1"/>
      </w:pPr>
    </w:p>
    <w:p w14:paraId="2A000000">
      <w:pPr>
        <w:numPr>
          <w:ilvl w:val="0"/>
          <w:numId w:val="1"/>
        </w:numPr>
        <w:ind/>
        <w:jc w:val="left"/>
      </w:pPr>
      <w:r>
        <w:drawing>
          <wp:inline>
            <wp:extent cx="2414016" cy="2553005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2414016" cy="255300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B000000">
      <w:pPr>
        <w:pStyle w:val="Style_1"/>
      </w:pPr>
    </w:p>
    <w:p w14:paraId="2C000000">
      <w:pPr>
        <w:numPr>
          <w:ilvl w:val="0"/>
          <w:numId w:val="1"/>
        </w:numPr>
        <w:ind/>
        <w:jc w:val="left"/>
      </w:pPr>
      <w:r>
        <w:t>Сумма при разных типах данных</w:t>
      </w:r>
      <w:r>
        <w:drawing>
          <wp:inline>
            <wp:extent cx="3881382" cy="2596896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3881382" cy="259689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D000000">
      <w:pPr>
        <w:pStyle w:val="Style_1"/>
      </w:pPr>
    </w:p>
    <w:p w14:paraId="2E000000">
      <w:pPr>
        <w:numPr>
          <w:ilvl w:val="0"/>
          <w:numId w:val="1"/>
        </w:numPr>
        <w:ind/>
        <w:jc w:val="left"/>
      </w:pPr>
      <w:r>
        <w:drawing>
          <wp:inline>
            <wp:extent cx="2666667" cy="352381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2666667" cy="35238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F000000">
      <w:pPr>
        <w:numPr>
          <w:ilvl w:val="0"/>
          <w:numId w:val="1"/>
        </w:numPr>
        <w:ind/>
        <w:jc w:val="left"/>
      </w:pPr>
      <w:r>
        <w:drawing>
          <wp:inline>
            <wp:extent cx="3561905" cy="466666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3561905" cy="4666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0000000">
      <w:pPr>
        <w:numPr>
          <w:ilvl w:val="0"/>
          <w:numId w:val="1"/>
        </w:numPr>
        <w:ind/>
        <w:jc w:val="left"/>
      </w:pPr>
      <w:r>
        <w:drawing>
          <wp:inline>
            <wp:extent cx="695238" cy="323809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695238" cy="3238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1000000">
      <w:pPr>
        <w:numPr>
          <w:ilvl w:val="0"/>
          <w:numId w:val="1"/>
        </w:numPr>
        <w:ind/>
        <w:jc w:val="left"/>
      </w:pPr>
      <w:r>
        <w:t>При оформлении текста программы #region     #endregion</w:t>
      </w:r>
    </w:p>
    <w:p w14:paraId="32000000">
      <w:pPr>
        <w:numPr>
          <w:ilvl w:val="0"/>
          <w:numId w:val="1"/>
        </w:numPr>
        <w:ind/>
        <w:jc w:val="left"/>
      </w:pPr>
      <w:r>
        <w:drawing>
          <wp:inline>
            <wp:extent cx="1838096" cy="666666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1838096" cy="6666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3000000">
      <w:pPr>
        <w:numPr>
          <w:ilvl w:val="0"/>
          <w:numId w:val="1"/>
        </w:numPr>
        <w:ind/>
        <w:jc w:val="left"/>
      </w:pPr>
      <w:r>
        <w:drawing>
          <wp:inline>
            <wp:extent cx="3085715" cy="1600000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3085715" cy="16000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4000000">
      <w:pPr>
        <w:numPr>
          <w:ilvl w:val="0"/>
          <w:numId w:val="1"/>
        </w:numPr>
        <w:ind/>
        <w:jc w:val="left"/>
      </w:pPr>
    </w:p>
    <w:p w14:paraId="35000000">
      <w:pPr>
        <w:pStyle w:val="Style_1"/>
      </w:pPr>
    </w:p>
    <w:p w14:paraId="36000000">
      <w:pPr>
        <w:ind/>
        <w:jc w:val="left"/>
      </w:pPr>
    </w:p>
    <w:p w14:paraId="37000000">
      <w:pPr>
        <w:ind/>
        <w:jc w:val="left"/>
      </w:pPr>
      <w:r>
        <w:t>2.2</w:t>
      </w:r>
    </w:p>
    <w:p w14:paraId="38000000">
      <w:pPr>
        <w:ind/>
        <w:jc w:val="left"/>
      </w:pPr>
      <w:r>
        <w:drawing>
          <wp:inline>
            <wp:extent cx="4952999" cy="175260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4952999" cy="17526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9000000">
      <w:pPr>
        <w:ind/>
        <w:jc w:val="left"/>
      </w:pPr>
    </w:p>
    <w:p w14:paraId="3A000000">
      <w:pPr>
        <w:ind/>
        <w:jc w:val="left"/>
      </w:pPr>
      <w:r>
        <w:drawing>
          <wp:inline>
            <wp:extent cx="5753099" cy="2200274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5753099" cy="2200274"/>
                    </a:xfrm>
                    <a:prstGeom prst="rect"/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3B000000">
      <w:pPr>
        <w:ind/>
        <w:jc w:val="left"/>
      </w:pPr>
    </w:p>
    <w:p w14:paraId="3C000000">
      <w:pPr>
        <w:ind/>
        <w:jc w:val="left"/>
      </w:pPr>
      <w:r>
        <w:drawing>
          <wp:inline>
            <wp:extent cx="6264275" cy="2203006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6264275" cy="220300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D000000">
      <w:pPr>
        <w:ind/>
        <w:jc w:val="left"/>
      </w:pPr>
    </w:p>
    <w:p w14:paraId="3E000000">
      <w:pPr>
        <w:ind/>
        <w:jc w:val="left"/>
      </w:pPr>
      <w:r>
        <w:drawing>
          <wp:inline>
            <wp:extent cx="6264274" cy="347465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6264274" cy="34746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F000000">
      <w:pPr>
        <w:ind/>
        <w:jc w:val="left"/>
      </w:pPr>
    </w:p>
    <w:p w14:paraId="40000000">
      <w:pPr>
        <w:ind/>
        <w:jc w:val="left"/>
      </w:pPr>
      <w:r>
        <w:t>с 2.3</w:t>
      </w:r>
    </w:p>
    <w:p w14:paraId="41000000">
      <w:pPr>
        <w:ind/>
        <w:jc w:val="left"/>
      </w:pPr>
    </w:p>
    <w:p w14:paraId="42000000">
      <w:pPr>
        <w:ind/>
        <w:jc w:val="left"/>
      </w:pPr>
    </w:p>
    <w:p w14:paraId="43000000">
      <w:pPr>
        <w:ind/>
        <w:jc w:val="left"/>
      </w:pPr>
    </w:p>
    <w:p w14:paraId="44000000">
      <w:pPr>
        <w:ind/>
        <w:jc w:val="left"/>
      </w:pPr>
    </w:p>
    <w:p w14:paraId="45000000">
      <w:pPr>
        <w:ind/>
        <w:jc w:val="left"/>
      </w:pPr>
    </w:p>
    <w:p w14:paraId="46000000">
      <w:pPr>
        <w:ind/>
        <w:jc w:val="left"/>
      </w:pPr>
    </w:p>
    <w:p w14:paraId="47000000">
      <w:pPr>
        <w:ind/>
        <w:jc w:val="left"/>
      </w:pPr>
    </w:p>
    <w:p w14:paraId="48000000">
      <w:pPr>
        <w:ind/>
        <w:jc w:val="left"/>
      </w:pPr>
    </w:p>
    <w:p w14:paraId="49000000">
      <w:pPr>
        <w:ind/>
        <w:jc w:val="left"/>
      </w:pPr>
    </w:p>
    <w:sectPr>
      <w:pgSz w:h="16838" w:orient="portrait" w:w="11906"/>
      <w:pgMar w:bottom="1134" w:footer="720" w:gutter="0" w:header="720" w:left="1304" w:right="737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numFmt w:val="bullet"/>
      <w:lvlText w:val=""/>
      <w:lvlJc w:val="left"/>
      <w:pPr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ind w:hanging="360" w:left="648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2" w:type="paragraph">
    <w:name w:val="Normal"/>
    <w:link w:val="Style_2_ch"/>
    <w:uiPriority w:val="0"/>
    <w:qFormat/>
    <w:pPr>
      <w:ind/>
      <w:jc w:val="both"/>
    </w:pPr>
    <w:rPr>
      <w:sz w:val="28"/>
    </w:rPr>
  </w:style>
  <w:style w:default="1" w:styleId="Style_2_ch" w:type="character">
    <w:name w:val="Normal"/>
    <w:link w:val="Style_2"/>
    <w:rPr>
      <w:sz w:val="28"/>
    </w:rPr>
  </w:style>
  <w:style w:styleId="Style_3" w:type="paragraph">
    <w:name w:val="toc 2"/>
    <w:next w:val="Style_2"/>
    <w:link w:val="Style_3_ch"/>
    <w:uiPriority w:val="39"/>
    <w:pPr>
      <w:ind w:firstLine="0" w:left="200"/>
    </w:pPr>
    <w:rPr>
      <w:sz w:val="28"/>
    </w:rPr>
  </w:style>
  <w:style w:styleId="Style_3_ch" w:type="character">
    <w:name w:val="toc 2"/>
    <w:link w:val="Style_3"/>
    <w:rPr>
      <w:sz w:val="28"/>
    </w:rPr>
  </w:style>
  <w:style w:styleId="Style_4" w:type="paragraph">
    <w:name w:val="toc 4"/>
    <w:next w:val="Style_2"/>
    <w:link w:val="Style_4_ch"/>
    <w:uiPriority w:val="39"/>
    <w:pPr>
      <w:ind w:firstLine="0" w:left="600"/>
    </w:pPr>
    <w:rPr>
      <w:sz w:val="28"/>
    </w:rPr>
  </w:style>
  <w:style w:styleId="Style_4_ch" w:type="character">
    <w:name w:val="toc 4"/>
    <w:link w:val="Style_4"/>
    <w:rPr>
      <w:sz w:val="28"/>
    </w:rPr>
  </w:style>
  <w:style w:styleId="Style_5" w:type="paragraph">
    <w:name w:val="toc 6"/>
    <w:next w:val="Style_2"/>
    <w:link w:val="Style_5_ch"/>
    <w:uiPriority w:val="39"/>
    <w:pPr>
      <w:ind w:firstLine="0" w:left="1000"/>
    </w:pPr>
    <w:rPr>
      <w:sz w:val="28"/>
    </w:rPr>
  </w:style>
  <w:style w:styleId="Style_5_ch" w:type="character">
    <w:name w:val="toc 6"/>
    <w:link w:val="Style_5"/>
    <w:rPr>
      <w:sz w:val="28"/>
    </w:rPr>
  </w:style>
  <w:style w:styleId="Style_6" w:type="paragraph">
    <w:name w:val="toc 7"/>
    <w:next w:val="Style_2"/>
    <w:link w:val="Style_6_ch"/>
    <w:uiPriority w:val="39"/>
    <w:pPr>
      <w:ind w:firstLine="0" w:left="1200"/>
    </w:pPr>
    <w:rPr>
      <w:sz w:val="28"/>
    </w:rPr>
  </w:style>
  <w:style w:styleId="Style_6_ch" w:type="character">
    <w:name w:val="toc 7"/>
    <w:link w:val="Style_6"/>
    <w:rPr>
      <w:sz w:val="28"/>
    </w:rPr>
  </w:style>
  <w:style w:styleId="Style_7" w:type="paragraph">
    <w:name w:val="heading 3"/>
    <w:next w:val="Style_2"/>
    <w:link w:val="Style_7_ch"/>
    <w:uiPriority w:val="9"/>
    <w:qFormat/>
    <w:pPr>
      <w:spacing w:after="120" w:before="120"/>
      <w:ind/>
      <w:jc w:val="both"/>
      <w:outlineLvl w:val="2"/>
    </w:pPr>
    <w:rPr>
      <w:b w:val="1"/>
      <w:sz w:val="26"/>
    </w:rPr>
  </w:style>
  <w:style w:styleId="Style_7_ch" w:type="character">
    <w:name w:val="heading 3"/>
    <w:link w:val="Style_7"/>
    <w:rPr>
      <w:b w:val="1"/>
      <w:sz w:val="26"/>
    </w:rPr>
  </w:style>
  <w:style w:styleId="Style_8" w:type="paragraph">
    <w:name w:val="Default Paragraph Font"/>
    <w:link w:val="Style_8_ch"/>
  </w:style>
  <w:style w:styleId="Style_8_ch" w:type="character">
    <w:name w:val="Default Paragraph Font"/>
    <w:link w:val="Style_8"/>
  </w:style>
  <w:style w:styleId="Style_9" w:type="paragraph">
    <w:name w:val="Balloon Text"/>
    <w:basedOn w:val="Style_2"/>
    <w:link w:val="Style_9_ch"/>
    <w:rPr>
      <w:rFonts w:ascii="Tahoma" w:hAnsi="Tahoma"/>
      <w:sz w:val="16"/>
    </w:rPr>
  </w:style>
  <w:style w:styleId="Style_9_ch" w:type="character">
    <w:name w:val="Balloon Text"/>
    <w:basedOn w:val="Style_2_ch"/>
    <w:link w:val="Style_9"/>
    <w:rPr>
      <w:rFonts w:ascii="Tahoma" w:hAnsi="Tahoma"/>
      <w:sz w:val="16"/>
    </w:rPr>
  </w:style>
  <w:style w:styleId="Style_10" w:type="paragraph">
    <w:name w:val="toc 3"/>
    <w:next w:val="Style_2"/>
    <w:link w:val="Style_10_ch"/>
    <w:uiPriority w:val="39"/>
    <w:pPr>
      <w:ind w:firstLine="0" w:left="400"/>
    </w:pPr>
    <w:rPr>
      <w:sz w:val="28"/>
    </w:rPr>
  </w:style>
  <w:style w:styleId="Style_10_ch" w:type="character">
    <w:name w:val="toc 3"/>
    <w:link w:val="Style_10"/>
    <w:rPr>
      <w:sz w:val="28"/>
    </w:rPr>
  </w:style>
  <w:style w:styleId="Style_11" w:type="paragraph">
    <w:name w:val="heading 5"/>
    <w:next w:val="Style_2"/>
    <w:link w:val="Style_11_ch"/>
    <w:uiPriority w:val="9"/>
    <w:qFormat/>
    <w:pPr>
      <w:spacing w:after="120" w:before="120"/>
      <w:ind/>
      <w:jc w:val="both"/>
      <w:outlineLvl w:val="4"/>
    </w:pPr>
    <w:rPr>
      <w:b w:val="1"/>
      <w:sz w:val="22"/>
    </w:rPr>
  </w:style>
  <w:style w:styleId="Style_11_ch" w:type="character">
    <w:name w:val="heading 5"/>
    <w:link w:val="Style_11"/>
    <w:rPr>
      <w:b w:val="1"/>
      <w:sz w:val="22"/>
    </w:rPr>
  </w:style>
  <w:style w:styleId="Style_12" w:type="paragraph">
    <w:name w:val="heading 1"/>
    <w:next w:val="Style_2"/>
    <w:link w:val="Style_12_ch"/>
    <w:uiPriority w:val="9"/>
    <w:qFormat/>
    <w:pPr>
      <w:spacing w:after="120" w:before="120"/>
      <w:ind/>
      <w:jc w:val="both"/>
      <w:outlineLvl w:val="0"/>
    </w:pPr>
    <w:rPr>
      <w:b w:val="1"/>
      <w:sz w:val="32"/>
    </w:rPr>
  </w:style>
  <w:style w:styleId="Style_12_ch" w:type="character">
    <w:name w:val="heading 1"/>
    <w:link w:val="Style_12"/>
    <w:rPr>
      <w:b w:val="1"/>
      <w:sz w:val="32"/>
    </w:rPr>
  </w:style>
  <w:style w:styleId="Style_13" w:type="paragraph">
    <w:name w:val="Hyperlink"/>
    <w:link w:val="Style_13_ch"/>
    <w:rPr>
      <w:color w:val="0000FF"/>
      <w:u w:val="single"/>
    </w:rPr>
  </w:style>
  <w:style w:styleId="Style_13_ch" w:type="character">
    <w:name w:val="Hyperlink"/>
    <w:link w:val="Style_13"/>
    <w:rPr>
      <w:color w:val="0000FF"/>
      <w:u w:val="single"/>
    </w:rPr>
  </w:style>
  <w:style w:styleId="Style_14" w:type="paragraph">
    <w:name w:val="Footnote"/>
    <w:link w:val="Style_14_ch"/>
    <w:pPr>
      <w:ind w:firstLine="851" w:left="0"/>
      <w:jc w:val="both"/>
    </w:pPr>
    <w:rPr>
      <w:sz w:val="22"/>
    </w:rPr>
  </w:style>
  <w:style w:styleId="Style_14_ch" w:type="character">
    <w:name w:val="Footnote"/>
    <w:link w:val="Style_14"/>
    <w:rPr>
      <w:sz w:val="22"/>
    </w:rPr>
  </w:style>
  <w:style w:styleId="Style_15" w:type="paragraph">
    <w:name w:val="toc 1"/>
    <w:next w:val="Style_2"/>
    <w:link w:val="Style_15_ch"/>
    <w:uiPriority w:val="39"/>
    <w:rPr>
      <w:b w:val="1"/>
      <w:sz w:val="28"/>
    </w:rPr>
  </w:style>
  <w:style w:styleId="Style_15_ch" w:type="character">
    <w:name w:val="toc 1"/>
    <w:link w:val="Style_15"/>
    <w:rPr>
      <w:b w:val="1"/>
      <w:sz w:val="28"/>
    </w:rPr>
  </w:style>
  <w:style w:styleId="Style_16" w:type="paragraph">
    <w:name w:val="Header and Footer"/>
    <w:link w:val="Style_16_ch"/>
    <w:pPr>
      <w:ind/>
      <w:jc w:val="both"/>
    </w:pPr>
    <w:rPr>
      <w:sz w:val="20"/>
    </w:rPr>
  </w:style>
  <w:style w:styleId="Style_16_ch" w:type="character">
    <w:name w:val="Header and Footer"/>
    <w:link w:val="Style_16"/>
    <w:rPr>
      <w:sz w:val="20"/>
    </w:rPr>
  </w:style>
  <w:style w:styleId="Style_17" w:type="paragraph">
    <w:name w:val="toc 9"/>
    <w:next w:val="Style_2"/>
    <w:link w:val="Style_17_ch"/>
    <w:uiPriority w:val="39"/>
    <w:pPr>
      <w:ind w:firstLine="0" w:left="1600"/>
    </w:pPr>
    <w:rPr>
      <w:sz w:val="28"/>
    </w:rPr>
  </w:style>
  <w:style w:styleId="Style_17_ch" w:type="character">
    <w:name w:val="toc 9"/>
    <w:link w:val="Style_17"/>
    <w:rPr>
      <w:sz w:val="28"/>
    </w:rPr>
  </w:style>
  <w:style w:styleId="Style_18" w:type="paragraph">
    <w:name w:val="Обычный1"/>
    <w:link w:val="Style_18_ch"/>
    <w:rPr>
      <w:rFonts w:ascii="XO Thames" w:hAnsi="XO Thames"/>
      <w:sz w:val="28"/>
    </w:rPr>
  </w:style>
  <w:style w:styleId="Style_18_ch" w:type="character">
    <w:name w:val="Обычный1"/>
    <w:link w:val="Style_18"/>
    <w:rPr>
      <w:rFonts w:ascii="XO Thames" w:hAnsi="XO Thames"/>
      <w:sz w:val="28"/>
    </w:rPr>
  </w:style>
  <w:style w:styleId="Style_19" w:type="paragraph">
    <w:name w:val="toc 8"/>
    <w:next w:val="Style_2"/>
    <w:link w:val="Style_19_ch"/>
    <w:uiPriority w:val="39"/>
    <w:pPr>
      <w:ind w:firstLine="0" w:left="1400"/>
    </w:pPr>
    <w:rPr>
      <w:sz w:val="28"/>
    </w:rPr>
  </w:style>
  <w:style w:styleId="Style_19_ch" w:type="character">
    <w:name w:val="toc 8"/>
    <w:link w:val="Style_19"/>
    <w:rPr>
      <w:sz w:val="28"/>
    </w:rPr>
  </w:style>
  <w:style w:styleId="Style_1" w:type="paragraph">
    <w:name w:val="List Paragraph"/>
    <w:basedOn w:val="Style_2"/>
    <w:link w:val="Style_1_ch"/>
    <w:pPr>
      <w:ind w:firstLine="0" w:left="720"/>
      <w:contextualSpacing w:val="1"/>
    </w:pPr>
  </w:style>
  <w:style w:styleId="Style_1_ch" w:type="character">
    <w:name w:val="List Paragraph"/>
    <w:basedOn w:val="Style_2_ch"/>
    <w:link w:val="Style_1"/>
  </w:style>
  <w:style w:styleId="Style_20" w:type="paragraph">
    <w:name w:val="toc 5"/>
    <w:next w:val="Style_2"/>
    <w:link w:val="Style_20_ch"/>
    <w:uiPriority w:val="39"/>
    <w:pPr>
      <w:ind w:firstLine="0" w:left="800"/>
    </w:pPr>
    <w:rPr>
      <w:sz w:val="28"/>
    </w:rPr>
  </w:style>
  <w:style w:styleId="Style_20_ch" w:type="character">
    <w:name w:val="toc 5"/>
    <w:link w:val="Style_20"/>
    <w:rPr>
      <w:sz w:val="28"/>
    </w:rPr>
  </w:style>
  <w:style w:styleId="Style_21" w:type="paragraph">
    <w:name w:val="Subtitle"/>
    <w:next w:val="Style_2"/>
    <w:link w:val="Style_21_ch"/>
    <w:uiPriority w:val="11"/>
    <w:qFormat/>
    <w:pPr>
      <w:ind/>
      <w:jc w:val="both"/>
    </w:pPr>
    <w:rPr>
      <w:i w:val="1"/>
    </w:rPr>
  </w:style>
  <w:style w:styleId="Style_21_ch" w:type="character">
    <w:name w:val="Subtitle"/>
    <w:link w:val="Style_21"/>
    <w:rPr>
      <w:i w:val="1"/>
    </w:rPr>
  </w:style>
  <w:style w:styleId="Style_22" w:type="paragraph">
    <w:name w:val="Гиперссылка1"/>
    <w:link w:val="Style_22_ch"/>
    <w:rPr>
      <w:color w:val="0000FF"/>
      <w:u w:val="single"/>
    </w:rPr>
  </w:style>
  <w:style w:styleId="Style_22_ch" w:type="character">
    <w:name w:val="Гиперссылка1"/>
    <w:link w:val="Style_22"/>
    <w:rPr>
      <w:color w:val="0000FF"/>
      <w:u w:val="single"/>
    </w:rPr>
  </w:style>
  <w:style w:styleId="Style_23" w:type="paragraph">
    <w:name w:val="Title"/>
    <w:next w:val="Style_2"/>
    <w:link w:val="Style_23_ch"/>
    <w:uiPriority w:val="10"/>
    <w:qFormat/>
    <w:pPr>
      <w:spacing w:after="567" w:before="567"/>
      <w:ind/>
      <w:jc w:val="center"/>
    </w:pPr>
    <w:rPr>
      <w:b w:val="1"/>
      <w:caps w:val="1"/>
      <w:sz w:val="40"/>
    </w:rPr>
  </w:style>
  <w:style w:styleId="Style_23_ch" w:type="character">
    <w:name w:val="Title"/>
    <w:link w:val="Style_23"/>
    <w:rPr>
      <w:b w:val="1"/>
      <w:caps w:val="1"/>
      <w:sz w:val="40"/>
    </w:rPr>
  </w:style>
  <w:style w:styleId="Style_24" w:type="paragraph">
    <w:name w:val="heading 4"/>
    <w:next w:val="Style_2"/>
    <w:link w:val="Style_24_ch"/>
    <w:uiPriority w:val="9"/>
    <w:qFormat/>
    <w:pPr>
      <w:spacing w:after="120" w:before="120"/>
      <w:ind/>
      <w:jc w:val="both"/>
      <w:outlineLvl w:val="3"/>
    </w:pPr>
    <w:rPr>
      <w:b w:val="1"/>
    </w:rPr>
  </w:style>
  <w:style w:styleId="Style_24_ch" w:type="character">
    <w:name w:val="heading 4"/>
    <w:link w:val="Style_24"/>
    <w:rPr>
      <w:b w:val="1"/>
    </w:rPr>
  </w:style>
  <w:style w:styleId="Style_25" w:type="paragraph">
    <w:name w:val="heading 2"/>
    <w:next w:val="Style_2"/>
    <w:link w:val="Style_25_ch"/>
    <w:uiPriority w:val="9"/>
    <w:qFormat/>
    <w:pPr>
      <w:spacing w:after="120" w:before="120"/>
      <w:ind/>
      <w:jc w:val="both"/>
      <w:outlineLvl w:val="1"/>
    </w:pPr>
    <w:rPr>
      <w:b w:val="1"/>
      <w:sz w:val="28"/>
    </w:rPr>
  </w:style>
  <w:style w:styleId="Style_25_ch" w:type="character">
    <w:name w:val="heading 2"/>
    <w:link w:val="Style_25"/>
    <w:rPr>
      <w:b w:val="1"/>
      <w:sz w:val="28"/>
    </w:rPr>
  </w:style>
  <w:style w:default="1" w:styleId="Style_26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8" Target="webSettings.xml" Type="http://schemas.openxmlformats.org/officeDocument/2006/relationships/webSettings"/>
  <Relationship Id="rId24" Target="fontTable.xml" Type="http://schemas.openxmlformats.org/officeDocument/2006/relationships/fontTable"/>
  <Relationship Id="rId23" Target="media/23.png" Type="http://schemas.openxmlformats.org/officeDocument/2006/relationships/image"/>
  <Relationship Id="rId27" Target="stylesWithEffects.xml" Type="http://schemas.microsoft.com/office/2007/relationships/stylesWithEffects"/>
  <Relationship Id="rId21" Target="media/21.png" Type="http://schemas.openxmlformats.org/officeDocument/2006/relationships/image"/>
  <Relationship Id="rId19" Target="media/19.png" Type="http://schemas.openxmlformats.org/officeDocument/2006/relationships/image"/>
  <Relationship Id="rId18" Target="media/18.png" Type="http://schemas.openxmlformats.org/officeDocument/2006/relationships/image"/>
  <Relationship Id="rId17" Target="media/17.png" Type="http://schemas.openxmlformats.org/officeDocument/2006/relationships/image"/>
  <Relationship Id="rId15" Target="media/15.png" Type="http://schemas.openxmlformats.org/officeDocument/2006/relationships/image"/>
  <Relationship Id="rId11" Target="media/11.png" Type="http://schemas.openxmlformats.org/officeDocument/2006/relationships/image"/>
  <Relationship Id="rId16" Target="media/16.png" Type="http://schemas.openxmlformats.org/officeDocument/2006/relationships/image"/>
  <Relationship Id="rId22" Target="media/22.png" Type="http://schemas.openxmlformats.org/officeDocument/2006/relationships/image"/>
  <Relationship Id="rId10" Target="media/10.png" Type="http://schemas.openxmlformats.org/officeDocument/2006/relationships/image"/>
  <Relationship Id="rId7" Target="media/7.png" Type="http://schemas.openxmlformats.org/officeDocument/2006/relationships/image"/>
  <Relationship Id="rId14" Target="media/14.png" Type="http://schemas.openxmlformats.org/officeDocument/2006/relationships/image"/>
  <Relationship Id="rId6" Target="media/6.png" Type="http://schemas.openxmlformats.org/officeDocument/2006/relationships/image"/>
  <Relationship Id="rId13" Target="media/13.png" Type="http://schemas.openxmlformats.org/officeDocument/2006/relationships/image"/>
  <Relationship Id="rId5" Target="media/5.png" Type="http://schemas.openxmlformats.org/officeDocument/2006/relationships/image"/>
  <Relationship Id="rId9" Target="media/9.png" Type="http://schemas.openxmlformats.org/officeDocument/2006/relationships/image"/>
  <Relationship Id="rId26" Target="styles.xml" Type="http://schemas.openxmlformats.org/officeDocument/2006/relationships/styles"/>
  <Relationship Id="rId4" Target="media/4.png" Type="http://schemas.openxmlformats.org/officeDocument/2006/relationships/image"/>
  <Relationship Id="rId8" Target="media/8.png" Type="http://schemas.openxmlformats.org/officeDocument/2006/relationships/image"/>
  <Relationship Id="rId29" Target="theme/theme1.xml" Type="http://schemas.openxmlformats.org/officeDocument/2006/relationships/theme"/>
  <Relationship Id="rId3" Target="media/3.png" Type="http://schemas.openxmlformats.org/officeDocument/2006/relationships/image"/>
  <Relationship Id="rId12" Target="media/12.png" Type="http://schemas.openxmlformats.org/officeDocument/2006/relationships/image"/>
  <Relationship Id="rId30" Target="numbering.xml" Type="http://schemas.openxmlformats.org/officeDocument/2006/relationships/numbering"/>
  <Relationship Id="rId25" Target="settings.xml" Type="http://schemas.openxmlformats.org/officeDocument/2006/relationships/settings"/>
  <Relationship Id="rId2" Target="media/2.png" Type="http://schemas.openxmlformats.org/officeDocument/2006/relationships/image"/>
  <Relationship Id="rId20" Target="media/20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2022-11-30T09:58:07Z</dcterms:modified>
</cp:coreProperties>
</file>