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b/>
          <w:bCs/>
          <w:color w:val="595959"/>
          <w:sz w:val="22"/>
          <w:szCs w:val="22"/>
        </w:rPr>
        <w:t xml:space="preserve">ПРОЕКТ</w:t>
      </w:r>
    </w:p>
    <w:p>
      <w:pPr>
        <w:pStyle w:val="Title"/>
        <w:jc w:val="center"/>
      </w:pPr>
      <w:r>
        <w:t xml:space="preserve">Техническое задание</w:t>
      </w:r>
    </w:p>
    <w:p>
      <w:pPr>
        <w:spacing w:after="300" w:before="80"/>
        <w:jc w:val="center"/>
      </w:pPr>
      <w:r>
        <w:rPr>
          <w:b/>
          <w:bCs/>
          <w:sz w:val="30"/>
          <w:szCs w:val="30"/>
        </w:rPr>
        <w:t xml:space="preserve">Сервис автоматизации заказа внешних ИТ-специалистов (StaffAI)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 Наименование системы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StaffAI — сервис автоматизации заказа внешних ИТ-специалистов (далее — Система).</w:t>
      </w:r>
    </w:p>
    <w:p>
      <w:pPr>
        <w:pStyle w:val="Heading2"/>
      </w:pPr>
      <w:r>
        <w:t xml:space="preserve">1.2 Назначение документа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Документ определяет требования к Системе для этапа MVP (Этап 1) и является основанием для проектирования, разработки и приёмки. Детализация плана работ — в документе «Этапы разработки»; процессные схемы — в документах «Схема процесса» и «Схема работы агента».</w:t>
      </w:r>
    </w:p>
    <w:p>
      <w:pPr>
        <w:pStyle w:val="Heading2"/>
      </w:pPr>
      <w:r>
        <w:t xml:space="preserve">1.3 Основания для разработки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Продуктовое описание сервиса и техническая спецификация требований, утверждённые в рамках проекта.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Процессные схемы целевого сценария («Схема процесса», «Схема работы агента»).</w:t>
      </w:r>
    </w:p>
    <w:p>
      <w:pPr>
        <w:spacing w:after="60"/>
      </w:pPr>
    </w:p>
    <w:p>
      <w:pPr>
        <w:pStyle w:val="Heading2"/>
      </w:pPr>
      <w:r>
        <w:t xml:space="preserve">1.4 Термины и сокращения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71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ЗНР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Заявка на ресурс, оформляется в ЛК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ЛК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Личный кабинет заказчика ИТ-ресурсов (внешняя система)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КАП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Хранилище данных о рамочных договорах, ролях, тарифах, бюджете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ЕСУП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Downstream-система исполнения; прямой интеграции нет, взаимодействие через ЛК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СУДИР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Корпоративная система аутентификации (SSO)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Штаб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Операционное подразделение, обрабатывающее заказы (исполнители)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Заказчик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Владелец продукта / руководитель, заказывающий внешних специалистов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запроса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Структурированное представление потребности, сформированное AI-агентом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Проект спецификации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Черновик спецификации к рамочному договору, формируемый Системой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 документов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Комплект документов, приложенных заказчиком к заявке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Большая языковая модель (GigaChat)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Интеграционное взаимодействие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ПСИ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Приёмо-сдаточные испытания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ПРОМ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Промышленный контур эксплуатации Системы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1.5 Маркировка неподтверждённых сведений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Формулировки, зависящие от неподтверждённых факторов или требующие отдельного архитектурного решения, выделены красным шрифтом. Каждая привязана к пункту сводного реестра открытых вопросов (раздел 12).</w:t>
      </w:r>
    </w:p>
    <w:p>
      <w:pPr>
        <w:pStyle w:val="Heading1"/>
      </w:pPr>
      <w:r>
        <w:t xml:space="preserve">2. Назначение и цели создания системы</w:t>
      </w:r>
    </w:p>
    <w:p>
      <w:pPr>
        <w:pStyle w:val="Heading2"/>
      </w:pPr>
      <w:r>
        <w:t xml:space="preserve">2.1 Назначение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Система автоматизирует процесс заказа внешних ИТ-специалистов: от формулирования потребности заказчиком до передачи проекта спецификации на согласование и подготовки данных для оформления ЗНР — с использованием AI-агента для приёма, уточнения и структурирования запросов и с сохранением всех значимых решений за человеком.</w:t>
      </w:r>
    </w:p>
    <w:p>
      <w:pPr>
        <w:pStyle w:val="Heading2"/>
      </w:pPr>
      <w:r>
        <w:t xml:space="preserve">2.2 Цели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4960"/>
        <w:gridCol w:w="3700"/>
      </w:tblGrid>
      <w:tr>
        <w:trPr>
          <w:tblHeader/>
        </w:trPr>
        <w:tc>
          <w:tcPr>
            <w:tcW w:type="dxa" w:w="7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9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37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Ц1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Сократить время от обращения до структурированного проверенного запроса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 дней до минут/часов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Ц2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Исключить повторный ввод данных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 вводятся один раз, переиспользуются во всех артефактах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Ц3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Снизить трудозатраты штаба на первичный разбор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вход штабу — предвалидированная карточка с анализом и флагами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Ц4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Обеспечить прозрачность процесса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заявки на каждом шаге для заказчика и штаба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Ц5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Обеспечить аудируемость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журнал событий, решений и версий артефактов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Базовые значения показателей «как есть» замеряются штабом до начала пилотной эксплуатации и используются для оценки эффекта.</w:t>
      </w:r>
    </w:p>
    <w:p>
      <w:pPr>
        <w:pStyle w:val="Heading2"/>
      </w:pPr>
      <w:r>
        <w:t xml:space="preserve">2.3 Границы автоматизации (этапность)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600"/>
        <w:gridCol w:w="5260"/>
        <w:gridCol w:w="2500"/>
      </w:tblGrid>
      <w:tr>
        <w:trPr>
          <w:tblHeader/>
        </w:trPr>
        <w:tc>
          <w:tcPr>
            <w:tcW w:type="dxa" w:w="16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Контур</w:t>
            </w:r>
          </w:p>
        </w:tc>
        <w:tc>
          <w:tcPr>
            <w:tcW w:type="dxa" w:w="5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5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Этап 1 (настоящее ТЗ)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 и обработка заявки через веб-сервис, уточняющий диалог, проверка и валидация заявки, цикл пояснений по ошибкам, формирование проекта спецификации, решение исполнителя, рассылка на согласование, подготовка данных для ЗНР и трекера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 разработку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Этап 2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артефактов выполнения и подготовка запуска оплаты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Отдельная постановка после реализации Этапа 1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Целевая АС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Оплата, учёт НМА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Реализуются в целевой АС при миграции; в периметр Системы не входят. Фиксируется только интеграционный контракт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Существующие процессы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Согласование спецификации в действующих системах, этап выполнения работ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автоматизируются Системой</w:t>
            </w:r>
          </w:p>
        </w:tc>
      </w:tr>
    </w:tbl>
    <w:p>
      <w:pPr>
        <w:pStyle w:val="Heading1"/>
      </w:pPr>
      <w:r>
        <w:t xml:space="preserve">3. Характеристика процесса «как есть»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Заказчик обязан знать номера договоров, бюджетные коды, правила формирования спецификаций и формат ЗНР, хотя это не его зона ответственности.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Одни и те же данные вводятся многократно: заявка → спецификация → трекер → ЛК.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Цикл от обращения до готовой заявки занимает недели ручных итераций; статусы непрозрачны.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Штаб получает неструктурированные запросы и вручную собирает недостающую информацию.</w:t>
      </w:r>
    </w:p>
    <w:p>
      <w:pPr>
        <w:spacing w:after="60"/>
      </w:pP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Целевой процесс («как будет») описан в разделе 5 и в процессных схемах пакета.</w:t>
      </w:r>
    </w:p>
    <w:p>
      <w:pPr>
        <w:pStyle w:val="Heading1"/>
      </w:pPr>
      <w:r>
        <w:t xml:space="preserve">4. Роли пользователей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900"/>
        <w:gridCol w:w="4260"/>
        <w:gridCol w:w="3200"/>
      </w:tblGrid>
      <w:tr>
        <w:trPr>
          <w:tblHeader/>
        </w:trPr>
        <w:tc>
          <w:tcPr>
            <w:tcW w:type="dxa" w:w="19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4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Функции в Системе</w:t>
            </w:r>
          </w:p>
        </w:tc>
        <w:tc>
          <w:tcPr>
            <w:tcW w:type="dxa" w:w="32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Ограничения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Заказчик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Формулирует потребность (диалог, файл), отвечает на уточнения, подтверждает карточку запроса, согласует содержательную часть спецификации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выбирает договор и подрядчика; не вводит бюджетные коды, CI, ставки; не формирует спецификацию и ЗНР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Исполнитель (сотрудник штаба)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Обрабатывает очередь заявок, верифицирует выводы AI, уточняет детали, выбирает подрядчика из рекомендаций, редактирует проект спецификации, принимает решение об отправке на согласование, запускает оформление ЗНР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собирает данные с нуля; не переносит данные между системами вручную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Управляет шаблонами, справочниками, доступами; просматривает журналы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Принцип human-in-the-loop (обязательный):</w:t>
      </w:r>
      <w:r>
        <w:rPr>
          <w:b w:val="false"/>
          <w:bCs w:val="false"/>
          <w:sz w:val="21"/>
          <w:szCs w:val="21"/>
        </w:rPr>
        <w:t xml:space="preserve"> Система не принимает самостоятельно решения о выборе подрядчика, утверждении бюджета, отправке на согласование и любых юридически значимых действиях. Решение об отправке проекта спецификации на согласование принимает исполнитель. Критерии возможного перевода отдельных решений в автоматический режим определяются по результатам эксплуатации и оформляются отдельным изменением требований.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Матрица ответственности (RACI) — приложение А.</w:t>
      </w:r>
    </w:p>
    <w:p>
      <w:pPr>
        <w:pStyle w:val="Heading1"/>
      </w:pPr>
      <w:r>
        <w:t xml:space="preserve">5. Целевой процесс</w:t>
      </w:r>
    </w:p>
    <w:p>
      <w:pPr>
        <w:pStyle w:val="Heading2"/>
      </w:pPr>
      <w:r>
        <w:t xml:space="preserve">5.1 Открытые архитектурные решения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Ниже приведены архитектурные вопросы, определяющие целевую конфигурацию Системы. До их решения соответствующие разделы документа описывают целевую модель условно.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1"/>
          <w:szCs w:val="21"/>
        </w:rPr>
        <w:t xml:space="preserve">Каналы взаимодействия с заказчиком.</w:t>
      </w:r>
      <w:r>
        <w:rPr>
          <w:b w:val="false"/>
          <w:bCs w:val="false"/>
          <w:sz w:val="21"/>
          <w:szCs w:val="21"/>
        </w:rPr>
        <w:t xml:space="preserve"> Целевой канал — веб-сервис. Действующая практика приёма части обращений по электронной почте является переходной и не входит в целевую архитектуру Системы. </w:t>
      </w:r>
      <w:r>
        <w:rPr>
          <w:b w:val="false"/>
          <w:bCs w:val="false"/>
          <w:color w:val="C00000"/>
          <w:sz w:val="21"/>
          <w:szCs w:val="21"/>
        </w:rPr>
        <w:t xml:space="preserve">[АР-01: включение почтового приёма обращений в периметр Системы, его объём и требования к обработке — требует архитектурного решения]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1"/>
          <w:szCs w:val="21"/>
        </w:rPr>
        <w:t xml:space="preserve">Размещение (базирование) Системы.</w:t>
      </w:r>
      <w:r>
        <w:rPr>
          <w:b w:val="false"/>
          <w:bCs w:val="false"/>
          <w:sz w:val="21"/>
          <w:szCs w:val="21"/>
        </w:rPr>
        <w:t xml:space="preserve"> Открыт вопрос платформы размещения: платформа управления инициативами (FinAI) либо Личный кабинет заказчика ИТ-ресурсов. Выбор определяет модель интеграции, владения и часть требований раздела 7. </w:t>
      </w:r>
      <w:r>
        <w:rPr>
          <w:b w:val="false"/>
          <w:bCs w:val="false"/>
          <w:color w:val="C00000"/>
          <w:sz w:val="21"/>
          <w:szCs w:val="21"/>
        </w:rPr>
        <w:t xml:space="preserve">[АР-02: платформа размещения Системы — FinAI либо Личный кабинет заказчика ИТ-ресурсов — требует архитектурного решения]</w:t>
      </w:r>
    </w:p>
    <w:p>
      <w:pPr>
        <w:spacing w:after="60"/>
      </w:pPr>
    </w:p>
    <w:p>
      <w:pPr>
        <w:pStyle w:val="Heading2"/>
      </w:pPr>
      <w:r>
        <w:t xml:space="preserve">5.2 Точка входа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Веб-сервис. Аутентификация через СУДИР </w:t>
      </w:r>
      <w:r>
        <w:rPr>
          <w:b w:val="false"/>
          <w:bCs w:val="false"/>
          <w:color w:val="C00000"/>
          <w:sz w:val="21"/>
          <w:szCs w:val="21"/>
        </w:rPr>
        <w:t xml:space="preserve">[ТУ-01: процедура подключения к СУДИР — уточняется]</w:t>
      </w:r>
      <w:r>
        <w:rPr>
          <w:b w:val="false"/>
          <w:bCs w:val="false"/>
          <w:sz w:val="21"/>
          <w:szCs w:val="21"/>
        </w:rPr>
        <w:t xml:space="preserve">. Диалог с AI-агентом: свободный текст, загрузка файлов (TXT, MD, DOCX, PDF, XLSX), шаблоны запросов. Голосовой ввод — вне Этапа 1.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Модель данных предусматривает атрибут канала обращения для последующего подключения дополнительных точек входа при принятии решения АР-01 (см. 5.1).</w:t>
      </w:r>
    </w:p>
    <w:p>
      <w:pPr>
        <w:pStyle w:val="Heading2"/>
      </w:pPr>
      <w:r>
        <w:t xml:space="preserve">5.3 Основной сценарий (Этап 1)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6660"/>
        <w:gridCol w:w="2000"/>
      </w:tblGrid>
      <w:tr>
        <w:trPr>
          <w:tblHeader/>
        </w:trPr>
        <w:tc>
          <w:tcPr>
            <w:tcW w:type="dxa" w:w="7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66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0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Исполнение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Вход через веб-сервис (СУДИР), начало диалога с AI-агентом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Обработка обращения: извлечение параметров запроса; для вопросов по процессу — ответ по базе знаний без создания заявки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Уточняющий диалог: недостающие параметры, противоречия (не более 3–5 вопросов за итерацию)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и валидация заявки: полнота данных, обязательные поля, сверка с данными договоров (КАП)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Алгоритм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4а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 наличии ошибок — цикл пояснений: перечень ошибок передаётся LLM, пользователь получает пояснения понятным языком; цикл до устранения, с лимитом итераций и эскалацией на исполнителя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Алгоритм → LLM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Формирование карточки запроса → подтверждение заказчиком → передача в очередь штаба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+ человек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Обработка исполнителем: верификация, уточнения, выбор подрядчика из рекомендаций, привязка к инициативе (опционально)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Формирование проекта спецификации (шаблон + данные карточки + договорные данные)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Алгоритм + LLM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Решение исполнителя: отправить на согласование / вернуть / скорректировать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Рассылка проекта спецификации на согласование участникам (подрядчику, исполнителю, заказчику); фиксация статусов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Алгоритм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Подготовка данных для downstream: конфигурационный пакет для ЛК (ЗНР), пакет параметров для трекера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Алгоритм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Согласование в действующих системах и этап выполнения работ проходят вне Системы; их результат фиксируется статусом заявки.</w:t>
      </w:r>
    </w:p>
    <w:p>
      <w:pPr>
        <w:pStyle w:val="Heading2"/>
      </w:pPr>
      <w:r>
        <w:t xml:space="preserve">5.4 Жизненный цикл заявки (статусная модель)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Черновик → AI-приём → Ожидает уточнений заказчика ⇄ AI-приём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→ Ожидает подтверждения заказчика → Запрос сформирован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→ Передано штабу → Проверка штабом ⇄ Ожидает уточнений заказчика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→ Выбор подрядчика → Подготовка спецификации → Решение исполнителя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→ Отправлено на согласование → Согласовано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→ Оформление ЗНР → Исполнение → Завершено</w:t>
      </w:r>
    </w:p>
    <w:p>
      <w:pPr>
        <w:spacing w:after="60"/>
      </w:pP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Дополнительные статусы: «Запрошено изменение», «Возвращено», «Отменено», «Приостановлено», «В архиве». Разрешённые действия и переходы по каждому статусу — приложение Б; требует валидации системным аналитиком </w:t>
      </w:r>
      <w:r>
        <w:rPr>
          <w:b w:val="false"/>
          <w:bCs w:val="false"/>
          <w:color w:val="C00000"/>
          <w:sz w:val="21"/>
          <w:szCs w:val="21"/>
        </w:rPr>
        <w:t xml:space="preserve">[ТУ-02: привлечение системного аналитика к валидации статусной модели и интеграционных взаимодействий]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t xml:space="preserve">6. Требования к функциям</w:t>
      </w:r>
    </w:p>
    <w:p>
      <w:pPr>
        <w:pStyle w:val="Heading2"/>
      </w:pPr>
      <w:r>
        <w:t xml:space="preserve">6.1 Подсистема «Рабочее место заказчика»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ФТ-1.1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Диалоговый интерфейс с AI-агентом: текст, загрузка файлов, выбор шаблона; приветствие с подсказкой форматов ввода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ФТ-1.2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Экран подтверждения карточки запроса: состав ролей (роль/грейд/количество), стек, сроки и календаризация, формат работы, контекст; действия «Подтвердить», «Изменить», «Задать вопрос»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ФТ-1.3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«Мои заявки»: список с фильтрами по статусу, детальная страница, история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ФТ-1.4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Ответы на уточнения штаба в том же диалоге, без выхода из диалога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ФТ-1.5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Уведомления о смене статуса (интерфейс и электронная почта)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ФТ-1.6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 завершённой заявки и сохранение заявки как личного шаблона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ФТ-1.7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Заказчику не отображаются: договорные и бюджетные атрибуты, служебные данные AI-анализа (уровень уверенности, источники, внутренние сопоставления). Заказчик видит только бизнес-уровень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Подсистема «Рабочее место исполнителя»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ФТ-2.1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Очередь входящих заявок с приоритетом и сроком нахождения в статусе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ФТ-2.2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заявки: исходный ввод пользователя; результаты AI-анализа с уровнем уверенности, источниками (фрагменты исходного текста), выявленными противоречиями и неопределённостями; результаты проверок; флаги (превышение бюджета, близко к лимиту, требуется продление договора)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ФТ-2.3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Варианты подрядчиков с оценкой: покрытие ролей, тарифы, остаток бюджета, срок договора, рейтинг; действия «Выбрать», «Сравнить», «Запросить альтернативы»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ФТ-2.4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Чат уточнений с заказчиком в контексте заявки; история сохраняется в заявке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ФТ-2.5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Просмотр и правка проекта спецификации (с версионированием); действия «Отправить на согласование», «Вернуть на доработку»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ФТ-2.6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Привязка заявки к инициативе: ручной выбор из справочника с AI-подсказкой вариантов; поле опциональное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ФТ-2.7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Возможность ручной корректировки любых извлечённых AI данных с фиксацией автора правки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Подсистема «AI-агент»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Извлечение из свободного текста и файлов: роли, грейды, количество, сроки и календаризация, технологический стек, формат работы, контекст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ФТ-3.2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Нормализация извлечённых значений по справочникам (роли, грейды, технологии) с фиксацией сопоставлений и уровня уверенности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Генерация уточняющих вопросов: только содержательные, не более 3–5 за итерацию; не переспрашивать уже указанное; не спрашивать то, что закрывается справочниками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ФТ-3.4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Выявление противоречий (например, несовместимость грейда и опыта, роли и стека) — подсветка без блокировки процесса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Обогащение заявки данными договоров и справочников; формирование вариантов подрядчиков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ФТ-3.6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Генерация артефактов: карточка запроса, пояснения по ошибкам, проект спецификации (текстовые разделы), конфигурационный пакет для ЛК, пакет параметров для трекера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ФТ-3.7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Ответы на вопросы по процессу оформления по базе знаний процесса (наполнение — приложение В, формируется штабом)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ФТ-3.8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Структурированный выходной контракт AI (JSON): распознанные значения, уверенность, источник (фрагмент), предположения, противоречия, рекомендуемое следующее действие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Обязательные правила работы AI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ПР-1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Разделение фактов (из ввода пользователя), справочных данных и предположений во всех выводах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ПР-2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Уровень уверенности для каждого вывода; выводы с низкой уверенностью направляются на проверку исполнителю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ПР-3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на генерацию несуществующих данных: договоров, ставок, CI, бюджетов. При отсутствии данных — ответ «не найдено»; при неоднозначности — варианты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ПР-4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AI-выводы журналируются и доступны для проверки (кто подтвердил, что исправлено)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ПР-5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не используется для: статусных переходов, контроля доступа, расчётов, валидации по справочникам, рассылок — эти функции реализуются детерминированной логикой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Подсистема «Проверка и валидация заявки»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ФТ-4.1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Базовые проверки: обязательные поля заполнены, форматы корректны, роли существуют в справочнике, количества положительные, даты согласованы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ФТ-4.2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Проверки по данным договоров (КАП): договор действует, роли доступны по договору, тарифы определены, остаток бюджета достаточен, срок договора покрывает срок заказа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ФТ-4.3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Результат проверки — структурированный отчёт с флагами: без замечаний / превышение бюджета / близко к лимиту / требуется продление договора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ФТ-4.4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 об ошибках передаётся AI-агенту для формирования пояснений пользователю (цикл шага 4а сценария)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ФТ-4.5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Состав правил проверки — настраиваемый; полный контрольный перечень — приложение Г, формируется штабом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 Подсистема «Проект спецификации»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ФТ-5.1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Генерация проекта спецификации по утверждённому шаблону </w:t>
            </w: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[ТУ-03: формы спецификаций различаются по договорам; согласование единого шаблона и обязательных реквизитов — требует участия Штаба Т]</w:t>
            </w:r>
            <w:r>
              <w:rPr>
                <w:b w:val="false"/>
                <w:bCs w:val="false"/>
                <w:sz w:val="19"/>
                <w:szCs w:val="19"/>
              </w:rPr>
              <w:t xml:space="preserve">: предмет, состав команды и ставки, требования к компетенциям, этапы и календаризация, приложения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ФТ-5.2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Версионирование: каждая правка исполнителя создаёт новую версию с фиксацией автора и времени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ФТ-5.3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Экспорт в DOCX и PDF; структурированное представление (JSON) — всегда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ФТ-5.4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Рассылка на согласование по маршруту (подрядчику, исполнителю, заказчику) с фиксацией статусов получения и ответа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6.6 Серверная часть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ФТ-6.1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Управление жизненным циклом заявок по статусной модели 5.4; запрет недопустимых переходов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ФТ-6.2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Ролевая модель доступа: заказчик видит только свои заявки; исполнитель — очередь и назначенные; администратор — всё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ФТ-6.3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событий: каждое значимое действие фиксируется событием (идентификатор, заявка, актор, время, содержимое, корреляция, источник); перечень событий — приложение Д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ФТ-6.4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Интеграционный слой через адаптеры; для каждого ИВ поддерживаются режимы: заглушка (mock) / только чтение / чтение-запись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ФТ-6.5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Уведомления по электронной почте и в интерфейсе, по событиям смены статуса и запросам действий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ФТ-6.6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Асинхронная обработка длительных операций (AI-анализ, генерация документов) с сохранением состояния сессии</w:t>
            </w:r>
          </w:p>
        </w:tc>
      </w:tr>
    </w:tbl>
    <w:p>
      <w:pPr>
        <w:pStyle w:val="Heading1"/>
      </w:pPr>
      <w:r>
        <w:t xml:space="preserve">7. Требования к интеграционным взаимодействиям</w:t>
      </w:r>
    </w:p>
    <w:p>
      <w:pPr>
        <w:pStyle w:val="Heading2"/>
      </w:pPr>
      <w:r>
        <w:t xml:space="preserve">7.1 Общие принципы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Все ИВ — через слой адаптеров; замена внешней системы не затрагивает бизнес-логику.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Недоступность внешней системы не останавливает процесс: создаётся отложенная задача синхронизации, пользователю отображается ограниченный режим, данные сохраняются локально.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  <w:sz w:val="21"/>
          <w:szCs w:val="21"/>
        </w:rPr>
        <w:t xml:space="preserve">Система не является источником истины для справочных данных; AI не подменяет справочники.</w:t>
      </w:r>
    </w:p>
    <w:p>
      <w:pPr>
        <w:spacing w:after="60"/>
      </w:pPr>
    </w:p>
    <w:p>
      <w:pPr>
        <w:pStyle w:val="Heading2"/>
      </w:pPr>
      <w:r>
        <w:t xml:space="preserve">7.2 Перечень ИВ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50"/>
        <w:gridCol w:w="1600"/>
        <w:gridCol w:w="2200"/>
        <w:gridCol w:w="2610"/>
        <w:gridCol w:w="2300"/>
      </w:tblGrid>
      <w:tr>
        <w:trPr>
          <w:tblHeader/>
        </w:trPr>
        <w:tc>
          <w:tcPr>
            <w:tcW w:type="dxa" w:w="65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220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61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Режим Этапа 1</w:t>
            </w:r>
          </w:p>
        </w:tc>
        <w:tc>
          <w:tcPr>
            <w:tcW w:type="dxa" w:w="230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Критичность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GigaChat (LLM API)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Ядро AI-агента</w:t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Рабочий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Блокирующая </w:t>
            </w: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[ТУ-04: версия модели, лимиты, SLA, контур доступа — уточняется]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СУДИР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Аутентификация</w:t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Рабочий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Блокирующая для точки входа </w:t>
            </w: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[ТУ-01]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Договоры, роли, тарифы, остатки бюджета — для проверок и подбора</w:t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чтение; при неготовности API — регламентная выгрузка/заглушка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Критическая </w:t>
            </w: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[ТУ-05: наличие REST API, структура данных, SLA — владельцы КАП]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ЛК (ЗНР)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Передача конфигурационного пакета для создания черновика ЗНР</w:t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Конфигурационный пакет (JSON); прямое создание ЗНР через API — целевой контур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Критическая </w:t>
            </w: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[ТУ-06: механизм создания ЗНР и формат пакета — владельцы ЛК; зависит от решения АР-02]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СберТрек / Jira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Задачи Epic+Story по заявке</w:t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 параметров для ручного создания; автосоздание — Фаза 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Важная, не блокирующая </w:t>
            </w: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[ТУ-07: статус миграции трекера — владельцы трекера]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Справочники (роли, грейды, технологии, продукты, CI)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Нормализация и сопоставление</w:t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Локальная копия + регламентная синхронизация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Критическая </w:t>
            </w: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[ТУ-08: источник и владелец справочников]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ЕСУП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Downstream после ЛК</w:t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Прямой интеграции нет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Перспективные ИВ (вне Этапа 1, фиксируются для архитектурной готовности)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Библиотека знаний (Jira/Confluence: рамочные договоры, спецификации), Пульс ЕК, ServiceManager, платформа управления инициативами (FinAI), целевая АС (миграция; оплата/НМА). Требование к архитектуре: перечисленные ИВ подключаемы без изменения ядра (через адаптеры).</w:t>
      </w:r>
    </w:p>
    <w:p>
      <w:pPr>
        <w:pStyle w:val="Heading1"/>
      </w:pPr>
      <w:r>
        <w:t xml:space="preserve">8. Требования к данным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Базовая модель данных — приложение Е: заявки, сессии диалога, результаты анализа, роли заявки, шаблоны, связи с трекером, выбранные договоры, спецификации, журнал событий, история статусов, AI-выводы, треды уточнений, варианты подрядчиков, артефакты.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Дополнительные сущности: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67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Канал заявки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Атрибут источника обращения (предусмотрен для последующего расширения точек входа, см. 5.1)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 документов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Комплект документов, приложенных к заявке, и его элементы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 о проверке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Результаты проверки заявки (правила, ошибки, флаги)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Маршрут согласования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Участники рассылки проекта спецификации и статусы ответов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Требования: хранение исходного ввода отдельно от обработанных данных; версионирование артефактов; сроки хранения и правила архивирования </w:t>
      </w:r>
      <w:r>
        <w:rPr>
          <w:b w:val="false"/>
          <w:bCs w:val="false"/>
          <w:color w:val="C00000"/>
          <w:sz w:val="21"/>
          <w:szCs w:val="21"/>
        </w:rPr>
        <w:t xml:space="preserve">[ТУ-09: политика хранения и архивирования данных — уточняется]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t xml:space="preserve">9. Нефункциональные требования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1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 API по справочным операциям ≤ 200 мс; AI-анализ текстового запроса ≤ 10 с; загрузка интерфейса ≤ 2 с; 500 одновременных пользователей на Этапе 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Доступность 99,5%; RTO ≤ 1 ч; ежедневное резервное копирование; восстановление прерванной сессии диалога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Горизонтальное масштабирование сервисов; кэширование справочников; очереди для асинхронных операций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СУДИР SSO; ролевой доступ; TLS; шифрование чувствительных данных при хранении; изоляция интеграционных учётных данных; журналирование всех действий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Деградация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 недоступности LLM — сохранение черновика, шаблонный путь, ручная обработка; при недоступности внешних систем — отложенная синхронизация без остановки процесса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Наблюдаемость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Журналы, метрики, трассировка; задержки LLM, доля ошибок ИВ, состояние очередей, зависшие заявки, доля ручных корректировок AI-выводов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Аудируемость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журналу восстанавливается: исходный запрос, все AI-интерпретации, подтверждения и правки людей, изменения статусов, отправленные артефакты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Целевые значения подлежат подтверждению на этапе приёмо-сдаточных испытаний с учётом требований информационной безопасности к промышленному контуру </w:t>
      </w:r>
      <w:r>
        <w:rPr>
          <w:b w:val="false"/>
          <w:bCs w:val="false"/>
          <w:color w:val="C00000"/>
          <w:sz w:val="21"/>
          <w:szCs w:val="21"/>
        </w:rPr>
        <w:t xml:space="preserve">[ТУ-10: соответствие показателей нормативам информационной безопасности и эксплуатационной готовности — подтверждается на этапе ПСИ]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t xml:space="preserve">10. Метрики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Собираются автоматически с первого дня эксплуатации: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1"/>
          <w:szCs w:val="21"/>
        </w:rPr>
        <w:t xml:space="preserve">Процессные:</w:t>
      </w:r>
      <w:r>
        <w:rPr>
          <w:b w:val="false"/>
          <w:bCs w:val="false"/>
          <w:sz w:val="21"/>
          <w:szCs w:val="21"/>
        </w:rPr>
        <w:t xml:space="preserve"> время до структурированного запроса; время проверки штабом; время до проекта спецификации; полный цикл; доля успешно завершённых заявок.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1"/>
          <w:szCs w:val="21"/>
        </w:rPr>
        <w:t xml:space="preserve">Качество AI:</w:t>
      </w:r>
      <w:r>
        <w:rPr>
          <w:b w:val="false"/>
          <w:bCs w:val="false"/>
          <w:sz w:val="21"/>
          <w:szCs w:val="21"/>
        </w:rPr>
        <w:t xml:space="preserve"> точность извлечения; количество уточняющих итераций; доля ручных корректировок; доля выводов с низкой уверенностью; инциденты недостоверной генерации.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1"/>
          <w:szCs w:val="21"/>
        </w:rPr>
        <w:t xml:space="preserve">Использование:</w:t>
      </w:r>
      <w:r>
        <w:rPr>
          <w:b w:val="false"/>
          <w:bCs w:val="false"/>
          <w:sz w:val="21"/>
          <w:szCs w:val="21"/>
        </w:rPr>
        <w:t xml:space="preserve"> распределение заявок по источникам обращения; повторное использование шаблонов; активные заказчики.</w:t>
      </w:r>
    </w:p>
    <w:p>
      <w:pPr>
        <w:pStyle w:val="Heading1"/>
      </w:pPr>
      <w:r>
        <w:t xml:space="preserve">11. Порядок контроля и приёмки</w:t>
      </w:r>
    </w:p>
    <w:p>
      <w:pPr>
        <w:pStyle w:val="Heading2"/>
      </w:pPr>
      <w:r>
        <w:t xml:space="preserve">11.1 Приёмочные сценарии Этапа 1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50"/>
        <w:gridCol w:w="4610"/>
        <w:gridCol w:w="4000"/>
      </w:tblGrid>
      <w:tr>
        <w:trPr>
          <w:tblHeader/>
        </w:trPr>
        <w:tc>
          <w:tcPr>
            <w:tcW w:type="dxa" w:w="7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40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ПС-1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Заявка через веб-сервис: диалог → карточка → подтверждение → обработка исполнителем → выбор подрядчика → проект спецификации → решение → рассылка на согласование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Пройден без ручного переноса данных; статусы и события зафиксированы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ПС-2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Заявка с приложенными документами, содержащими ошибки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Ошибки найдены автоматически, пояснения даны в диалоге, после исправления заявка проходит полный путь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ПС-3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по процессу в диалоге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Содержательный ответ AI без создания заявки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ПС-4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зоны заказчика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Заказчик нигде не вводит договорные/бюджетные атрибуты; данные не вводятся повторно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ПС-5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Формирование конфигурационного пакета для ЛК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 соответствует согласованной структуре, принят тестовым контуром ЛК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ПС-6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 параметров для трекера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Исполнитель создаёт задачи по пакету без обращения к исходной переписке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ПС-7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Аудит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журналу восстановлена полная история произвольной заявки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ПС-8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Нагрузочное испытание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НФТ раздела 9 подтверждены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Порядок приёмки</w:t>
      </w:r>
    </w:p>
    <w:p>
      <w:pPr>
        <w:spacing w:after="120"/>
        <w:jc w:val="both"/>
      </w:pPr>
      <w:r>
        <w:rPr>
          <w:b w:val="false"/>
          <w:bCs w:val="false"/>
          <w:sz w:val="21"/>
          <w:szCs w:val="21"/>
        </w:rPr>
        <w:t xml:space="preserve">Стендовые испытания по сценариям ПС-1…ПС-8 → устранение замечаний → приёмо-сдаточные испытания с проверкой требований информационной безопасности → пилотная эксплуатация на ограниченной группе заказчиков → анализ метрик пилота → решение о промышленной эксплуатации.</w:t>
      </w:r>
    </w:p>
    <w:p>
      <w:pPr>
        <w:pStyle w:val="Heading1"/>
      </w:pPr>
      <w:r>
        <w:t xml:space="preserve">12. Реестр открытых вопросов</w:t>
      </w:r>
    </w:p>
    <w:p>
      <w:pPr>
        <w:pStyle w:val="Heading2"/>
      </w:pPr>
      <w:r>
        <w:t xml:space="preserve">12.1 Архитектурные решения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900"/>
        <w:gridCol w:w="4610"/>
        <w:gridCol w:w="2450"/>
        <w:gridCol w:w="14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61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245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14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Что требуется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АР-01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Каналы приёма обращений: сохранение / развитие переходной практики приёма по электронной почте помимо целевого веб-сервиса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Периметр точек входа Системы (раздел 5)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Архитектурное решение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АР-02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Платформа размещения Системы: платформа управления инициативами (FinAI) либо Личный кабинет заказчика ИТ-ресурсов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интеграции и владения, часть требований раздела 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Архитектурное решение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12.2 Уточнения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50"/>
        <w:gridCol w:w="4210"/>
        <w:gridCol w:w="2200"/>
        <w:gridCol w:w="2200"/>
      </w:tblGrid>
      <w:tr>
        <w:trPr>
          <w:tblHeader/>
        </w:trPr>
        <w:tc>
          <w:tcPr>
            <w:tcW w:type="dxa" w:w="75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1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20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Ответственная сторона</w:t>
            </w:r>
          </w:p>
        </w:tc>
        <w:tc>
          <w:tcPr>
            <w:tcW w:type="dxa" w:w="2200"/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Что блокирует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ТУ-01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Процедура подключения к СУДИР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Точку входа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ТУ-02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Привлечение системного аналитика, валидация статусной модели и интеграционных взаимодействий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Детализацию приложений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ТУ-03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Формы спецификаций различаются по договорам; согласование единого шаблона и обязательных реквизитов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Штаб Т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ФТ-5.1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ТУ-04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LLM: версия, лимиты, SLA, контур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ИВ-1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ТУ-05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КАП: наличие REST API, структура данных, SLA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Владельцы КАП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ИВ-3 (рабочий режим)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ТУ-06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ЛК: механизм создания ЗНР, формат конфигурационного пакета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Владельцы ЛК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ИВ-4; зависит от АР-02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ТУ-07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миграции Jira → СберТрек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Владельцы трекера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ИВ-5 (Фаза 2)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ТУ-08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Источник и владелец справочников ролей/технологий/CI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Владельцы справочников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ИВ-6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ТУ-09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Политика хранения и архивирования данных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8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ТУ-10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Соответствие показателей нормативам информационной безопасности и эксплуатационной готовности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Функция информационной безопасности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9, ПСИ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ТУ-11</w:t>
            </w:r>
          </w:p>
        </w:tc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Формальное утверждение границ MVP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Фиксацию объёма Этапа 1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13. Приложения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00"/>
        <w:gridCol w:w="5460"/>
        <w:gridCol w:w="2500"/>
      </w:tblGrid>
      <w:tr>
        <w:trPr>
          <w:tblHeader/>
        </w:trPr>
        <w:tc>
          <w:tcPr>
            <w:tcW w:type="dxa" w:w="14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Приложение</w:t>
            </w:r>
          </w:p>
        </w:tc>
        <w:tc>
          <w:tcPr>
            <w:tcW w:type="dxa" w:w="546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500"/>
            <w:shd w:fill="D9E2F3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А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Матрица ответственности (RACI)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Формируется на этапе детального проектирования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Статусная модель: разрешённые действия и переходы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См. раздел 5.4; детализация — ТУ-02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В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База знаний процесса оформления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Формируется штабом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Г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Контрольный перечень проверки заявки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Формируется штабом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Перечень событий журнала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Формируется на этапе детального проектирования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Е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данных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См. раздел 8; детализация — этап проектирования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Ж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Макеты интерфейсов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Формируются на этапе UX-проектирования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З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Процессные схемы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both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Документы «Схема процесса» и «Схема работы агента»</w:t>
            </w:r>
          </w:p>
        </w:tc>
      </w:tr>
    </w:tbl>
    <w:p>
      <w:pPr>
        <w:spacing w:after="60"/>
      </w:pPr>
    </w:p>
    <w:p>
      <w:pPr>
        <w:spacing w:after="160"/>
        <w:jc w:val="both"/>
      </w:pPr>
      <w:r>
        <w:rPr>
          <w:i/>
          <w:iCs/>
          <w:color w:val="555555"/>
          <w:sz w:val="20"/>
          <w:szCs w:val="20"/>
        </w:rPr>
        <w:t xml:space="preserve">Изменения требований вносятся с фиксацией новой версии документа.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30" w:before="240"/>
      <w:outlineLvl w:val="1"/>
    </w:pPr>
    <w:rPr>
      <w:rFonts w:ascii="Arial" w:cs="Arial" w:eastAsia="Arial" w:hAnsi="Arial"/>
      <w:b/>
      <w:bCs/>
      <w:color w:val="2E437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2026-07-13T07:17:32.078Z</dcterms:created>
  <dcterms:modified xsi:type="dcterms:W3CDTF">2026-07-13T07:17:32.079Z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