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小弹发射影响因素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eastAsia="zh-CN"/>
        </w:rPr>
        <w:t>优先级高：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1.单发限位装置（含各方向）：现有开源包括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上下轴承限位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四颗轴承限位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三颗波珠螺丝限位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可反馈数据的轻触开关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上下两个电池弹片限位</w:t>
      </w:r>
      <w:r>
        <w:rPr>
          <w:rFonts w:hint="eastAsia" w:ascii="等线" w:hAnsi="等线" w:eastAsia="等线" w:cs="等线"/>
          <w:lang w:val="en-US" w:eastAsia="zh-CN"/>
        </w:rPr>
        <w:t>。其中轴承含U型轴承、V型轴承、包胶轴承。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/>
        </w:rPr>
        <w:t>2.</w:t>
      </w:r>
      <w:r>
        <w:rPr>
          <w:rFonts w:hint="eastAsia" w:ascii="等线" w:hAnsi="等线" w:eastAsia="等线" w:cs="等线"/>
          <w:lang w:val="en-US" w:eastAsia="zh-CN"/>
        </w:rPr>
        <w:t>炮管内径：现有开源包括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单颗波珠螺丝限位搭配炮管内径18mm（北工大）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一个V型轴承搭配炮管内径17.7mm（大连理工）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上下两个U型轴承搭配炮管内径18.5mm（电科）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轻触开关搭配炮管内径19mm（桂电）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上下两个电池弹片搭配炮管内径17.5mm（哈工程）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三颗波珠螺丝限位搭配炮管内径17.5mm，长枪管内径19mm（本部）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上下两个U型轴承限位搭配炮管内径19mm（华工）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0" w:leftChars="0" w:firstLine="480" w:firstLineChars="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四个轴承限位搭配炮管内径20mm（深大）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3.摩擦轮与枪管的相对高度：保证小弹丸通过限位后，弹丸中心与摩擦轮中心处于同一高度（或弧形摩擦轮的弧度圆心）。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4.测速模块的装配稳定性及与炮管的同轴度。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eastAsia="zh-CN"/>
        </w:rPr>
        <w:t>优先级中：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1..摩擦轮的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种类（含弧形摩擦轮）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硬度</w:t>
      </w:r>
      <w:r>
        <w:rPr>
          <w:rFonts w:hint="eastAsia" w:ascii="等线" w:hAnsi="等线" w:eastAsia="等线" w:cs="等线"/>
          <w:lang w:val="en-US" w:eastAsia="zh-CN"/>
        </w:rPr>
        <w:t>、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间距</w:t>
      </w:r>
      <w:r>
        <w:rPr>
          <w:rFonts w:hint="eastAsia" w:ascii="等线" w:hAnsi="等线" w:eastAsia="等线" w:cs="等线"/>
          <w:lang w:val="en-US" w:eastAsia="zh-CN"/>
        </w:rPr>
        <w:t>、使用的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电机</w:t>
      </w:r>
      <w:r>
        <w:rPr>
          <w:rFonts w:hint="eastAsia" w:ascii="等线" w:hAnsi="等线" w:eastAsia="等线" w:cs="等线"/>
          <w:lang w:val="en-US" w:eastAsia="zh-CN"/>
        </w:rPr>
        <w:t>及</w:t>
      </w:r>
      <w:r>
        <w:rPr>
          <w:rFonts w:hint="eastAsia" w:ascii="等线" w:hAnsi="等线" w:eastAsia="等线" w:cs="等线"/>
          <w:highlight w:val="lightGray"/>
          <w:lang w:val="en-US" w:eastAsia="zh-CN"/>
        </w:rPr>
        <w:t>摩擦轮的装配方式</w:t>
      </w:r>
      <w:r>
        <w:rPr>
          <w:rFonts w:hint="eastAsia" w:ascii="等线" w:hAnsi="等线" w:eastAsia="等线" w:cs="等线"/>
          <w:lang w:val="en-US" w:eastAsia="zh-CN"/>
        </w:rPr>
        <w:t>（装配于上板或下板）与安装的板材材料。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2.发射机构有无长枪管。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3.限位装置到接触摩擦轮的距离。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4.限位的装配稳定性。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eastAsia="zh-CN"/>
        </w:rPr>
        <w:t>优先级低：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/>
        </w:rPr>
        <w:t>1.小弹丸离开拨弹后进入炮管的方式。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/>
        </w:rPr>
        <w:t>2.</w:t>
      </w:r>
      <w:r>
        <w:rPr>
          <w:rFonts w:hint="eastAsia" w:ascii="等线" w:hAnsi="等线" w:eastAsia="等线" w:cs="等线"/>
          <w:lang w:val="en-US" w:eastAsia="zh-CN"/>
        </w:rPr>
        <w:t>炮管的材料。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3.荧光充能装置的安装方式。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4.离开拨弹后至接触限位的距离。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77F83"/>
    <w:multiLevelType w:val="singleLevel"/>
    <w:tmpl w:val="3BB77F83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DC1E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502</Words>
  <Characters>558</Characters>
  <Paragraphs>27</Paragraphs>
  <TotalTime>9</TotalTime>
  <ScaleCrop>false</ScaleCrop>
  <LinksUpToDate>false</LinksUpToDate>
  <CharactersWithSpaces>654</CharactersWithSpaces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2021-10-22T12:26:00Z</dcterms:created>
  <dc:creator>ANA-AN00</dc:creator>
  <cp:lastModifiedBy>εr</cp:lastModifiedBy>
  <dcterms:modified xsi:type="dcterms:W3CDTF">2021-10-23T07:25:02Z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0518f10b20874f2a875d0be387ccdb00</vt:lpwstr>
  </property>
  <property fmtid="{D5CDD505-2E9C-101B-9397-08002B2CF9AE}" pid="3" name="KSOProductBuildVer">
    <vt:lpwstr>2052-11.1.0.10938</vt:lpwstr>
  </property>
</Properties>
</file>