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第四届深港澳人工智能大赛</w:t>
      </w:r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宣传板块材料收集（展商）</w:t>
      </w:r>
    </w:p>
    <w:p>
      <w:pPr>
        <w:rPr>
          <w:rFonts w:ascii="宋体" w:hAnsi="宋体" w:eastAsia="宋体" w:cs="宋体"/>
          <w:b/>
          <w:bCs/>
          <w:sz w:val="28"/>
          <w:szCs w:val="28"/>
        </w:rPr>
      </w:pPr>
    </w:p>
    <w:tbl>
      <w:tblPr>
        <w:tblStyle w:val="5"/>
        <w:tblW w:w="880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8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textAlignment w:val="center"/>
              <w:rPr>
                <w:rFonts w:ascii="宋体" w:hAnsi="宋体" w:eastAsia="宋体" w:cs="宋体"/>
                <w:color w:val="00000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参展商名称：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8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textAlignment w:val="center"/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所属区域：互动区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7" w:hRule="atLeast"/>
        </w:trPr>
        <w:tc>
          <w:tcPr>
            <w:tcW w:w="8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textAlignment w:val="center"/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公司简介：（公司简介、产品简介、功能亮点等需展示的部分，300~500字左右）</w:t>
            </w:r>
          </w:p>
          <w:p>
            <w:pPr>
              <w:widowControl/>
              <w:textAlignment w:val="center"/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哈尔滨工业大学（深圳）由哈工大与深圳市政府合作共建，以全日制本科生与研究生教育为主、非全日制教育为辅，是国家“985工程”建设高校和“双一流”建设A类高校首个在深圳市举办的本硕博培养体系齐全的高水平校区。</w:t>
            </w:r>
          </w:p>
          <w:p>
            <w:pPr>
              <w:widowControl/>
              <w:textAlignment w:val="center"/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哈尔滨工业大学（深圳）南工骁鹰(Critical HIT)战队成立于2016年10月，由哈尔滨工业大学（深圳）工训指导，教务处、机电学院、团委等单位支持，现已具有完善的团队管理体系及培训体系，下设机械组、运营组、嵌入式组、视觉组。主要任务为参加RoboMaster机甲大师高校系列赛。</w:t>
            </w:r>
          </w:p>
          <w:p>
            <w:pPr>
              <w:widowControl/>
              <w:textAlignment w:val="center"/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本次参展展品一共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类机器人，均由南工骁鹰机器人战队队员自主研发。此类竞技机器人基于机甲大师系列赛事规则以及制作规范进行研发，包括全向轮步兵机器人、英雄机器人、工程机器人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麦轮步兵机器人、平衡步兵机器人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。观众可以现场使用遥控器完成机器人移动、底盘连续旋转、发射弹丸等基本功能。</w:t>
            </w:r>
          </w:p>
          <w:p>
            <w:pPr>
              <w:pStyle w:val="13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全向轮步兵机器人</w:t>
            </w:r>
          </w:p>
          <w:p>
            <w:pPr>
              <w:pStyle w:val="13"/>
              <w:widowControl/>
              <w:ind w:left="360" w:firstLine="560"/>
              <w:textAlignment w:val="center"/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全向轮步兵机器人是南工骁鹰战队于机甲大师2</w:t>
            </w:r>
            <w:r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021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赛季赛场上其一首先创新采用圆形底盘可以顺畅通过狭小空间；其二次采用了四联动自适应底盘设计，Omni 轮 X 型布置，环式自适应平行四边形悬挂，保证底盘的通过性和机动性。保证了起伏路段和斜坡都有较好的通过性；其三云台采用 yaw 轴供弹，纵置摩擦轮设计，降低了 pitch 的重量，提高了云台的响应速度。</w:t>
            </w:r>
          </w:p>
          <w:p>
            <w:pPr>
              <w:pStyle w:val="13"/>
              <w:widowControl/>
              <w:ind w:left="360" w:firstLine="560"/>
              <w:textAlignment w:val="center"/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南工骁鹰战队的全向轮步兵在机甲大师联盟赛2</w:t>
            </w:r>
            <w:r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赛季广东站获得步兵1v1竞赛亚军，并在RoboMaster</w:t>
            </w:r>
            <w:r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青年工程师大会上答辩展示，获得广泛好评。</w:t>
            </w:r>
          </w:p>
          <w:p>
            <w:pPr>
              <w:pStyle w:val="13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rFonts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英雄机器人</w:t>
            </w:r>
          </w:p>
          <w:p>
            <w:pPr>
              <w:pStyle w:val="13"/>
              <w:widowControl/>
              <w:ind w:left="360" w:firstLine="560" w:firstLineChars="200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南工骁鹰战队设计的英雄机器人采用经典的下供弹摩擦轮发射方案，优点在于发射机构体积小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；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同时采取摩擦轮作为单发限位，有效提高了弹丸发射精度。底盘车架采用轻量化铝方管车架，强度高，能承受大量冲击；轮组悬挂采用横臂独立悬挂，提供足够的缓冲和支撑，经adams仿真计算和实际检验，具有良好的飞坡性能。</w:t>
            </w:r>
          </w:p>
          <w:p>
            <w:pPr>
              <w:pStyle w:val="13"/>
              <w:widowControl/>
              <w:numPr>
                <w:ilvl w:val="0"/>
                <w:numId w:val="1"/>
              </w:numPr>
              <w:ind w:left="360" w:leftChars="0" w:hanging="360" w:firstLineChars="0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工程机器人</w:t>
            </w:r>
          </w:p>
          <w:p>
            <w:pPr>
              <w:pStyle w:val="13"/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南工骁鹰战队设计的工程机器人采用了通过链条实现的两级抬升、通过齿条与同步带实现两级伸出的伸展方案，以在初始尺寸的约束下，实现最大程度的伸展，同时保证结构的稳定。取矿机构采用吸盘取矿，优点是能够在伸展尺寸限制最高点取得矿石。底盘悬挂采用纵臂悬挂，通过双行程弹簧设计保证行驶过程中升降机构保持稳定。经测试，升降抬升到1000mm高度空接矿石的成功率可达90%。</w:t>
            </w:r>
          </w:p>
          <w:p>
            <w:pPr>
              <w:pStyle w:val="13"/>
              <w:widowControl/>
              <w:ind w:left="0" w:leftChars="0" w:firstLine="0" w:firstLineChars="0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3.工程机器人</w:t>
            </w:r>
          </w:p>
          <w:p>
            <w:pPr>
              <w:pStyle w:val="13"/>
              <w:widowControl/>
              <w:ind w:left="360" w:firstLine="560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南工骁鹰战队设计的工程机器人采用了通过链条实现的两级抬升、通过齿条与同步带实现两级伸出的伸展方案，以在初始尺寸的约束下，实现最大程度的伸展，同时保证结构的稳定。取矿机构采用吸盘取矿，优点是能够在伸展尺寸限制最高点取得矿石。底盘悬挂采用纵臂悬挂，通过双行程弹簧设计保证行驶过程中升降机构保持稳定。经测试，升降抬升到1000mm高度空接矿石的成功率可达90%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4.麦克纳姆轮步兵机器人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360" w:right="0" w:firstLine="560" w:firstLineChars="200"/>
              <w:jc w:val="both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南工骁鹰战队设计的步兵机器人为获得最大的机动性能，在功率限制的情况下对机器人的尺寸和质量进行压缩，云台通过合理布局和空间分配，用较小的空间将电机电调等元器件容纳，pitch轴采用连杆传动，将驱动电机收入云台“脖子”以缩小云台整体体积。底盘车架采用薄壁大口径铝方管，并以装甲板及其支架提供强度补足，同时对铝方管进行了大面积镂空处理以方便走线、节省空间。轮组悬挂采用了单摇臂独立悬挂，单端支撑，结构简洁，在满足机器人性能需求的同时减轻轮组的重量、降低装配维护难度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5.平衡轮腿步兵机器人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360" w:right="0" w:firstLine="560" w:firstLineChars="200"/>
              <w:jc w:val="both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南工骁鹰设计的平衡步兵机器人采用轮腿结构，相比于普通两轮平衡车，其腿部结构可以更好地控制车体加减速度，根据地形起伏而不断改变腿部长度，使得车体底盘自主平衡，起到主动悬挂的作用，可以更好地适应赛场的坡度、起伏等多方面场地元素。上下腿均采用铝加工件设计，可以保证其刚度和强度，并能更好地进行轴系设计，方便进行轴承的轴向固定。腿部控制主要以vmc算法控制，通过控制足端指定方向的力来维持底盘力矩平衡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8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公司logo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7" w:hRule="atLeast"/>
        </w:trPr>
        <w:tc>
          <w:tcPr>
            <w:tcW w:w="8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产品图片：（3~5张，有互动更佳）</w:t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drawing>
                <wp:inline distT="0" distB="0" distL="114300" distR="114300">
                  <wp:extent cx="5567680" cy="3864610"/>
                  <wp:effectExtent l="0" t="0" r="13970" b="2540"/>
                  <wp:docPr id="1" name="图片 1" descr="英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英雄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680" cy="386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（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英雄机器人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）</w:t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drawing>
                <wp:inline distT="0" distB="0" distL="114300" distR="114300">
                  <wp:extent cx="5567045" cy="3823335"/>
                  <wp:effectExtent l="0" t="0" r="14605" b="5715"/>
                  <wp:docPr id="2" name="图片 2" descr="步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步兵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（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麦轮步兵机器人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）</w:t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drawing>
                <wp:inline distT="0" distB="0" distL="114300" distR="114300">
                  <wp:extent cx="5564505" cy="4149090"/>
                  <wp:effectExtent l="0" t="0" r="17145" b="3810"/>
                  <wp:docPr id="3" name="图片 3" descr="工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工程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505" cy="414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（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工程机器人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）</w:t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drawing>
                <wp:inline distT="0" distB="0" distL="114300" distR="114300">
                  <wp:extent cx="5568950" cy="4176395"/>
                  <wp:effectExtent l="0" t="0" r="12700" b="14605"/>
                  <wp:docPr id="4" name="图片 4" descr="B31968FEFDD0C27FFF81AC64F01959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31968FEFDD0C27FFF81AC64F019598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0" cy="417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（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val="en-US" w:eastAsia="zh-CN" w:bidi="ar"/>
              </w:rPr>
              <w:t>全向轮步兵在青年工程师大会上与其他高校机器人交流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eastAsia="zh-CN" w:bidi="ar"/>
              </w:rPr>
              <w:t>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62" w:hRule="atLeast"/>
        </w:trPr>
        <w:tc>
          <w:tcPr>
            <w:tcW w:w="8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产品报道链接：</w:t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https://mp.weixin.qq.com/s?__biz=MzIyMzc3MTgyMw==&amp;mid=2247486112&amp;idx=1&amp;sn=c46c17fba153f6dfbc1532a3f0ad7f98&amp;chksm=e8186760df6fee7635e7501aa60bd8946c9f632730c2d57219947531275ceb6bb88c0752ca2b&amp;mpshare=1&amp;scene=23&amp;srcid=0813t3k9gK2BNlRl87A1vN5Y&amp;sharer_sharetime=1660320853814&amp;sharer_shareid=8e041211cd500a97a87a2da43838d7a1#rd</w:t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http://mp.weixin.qq.com/s?__biz=MzI0MDEzODM0Ng==&amp;mid=2247517080&amp;idx=1&amp;sn=8a445aa509dd08f6eeff47ec38d6f1e4&amp;chksm=e91da29dde6a2b8b910937b1d51db715da2eee42c9015bbf8744bfdfb42e3b83094a47e008bc&amp;mpshare=1&amp;scene=23&amp;srcid=0813Pn16cT7INGE6iEz6r4Gj&amp;sharer_sharetime=1660320928941&amp;sharer_shareid=ef9f43045b0aebd2baa10093de37715e#rd</w:t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https://mp.weixin.qq.com/s?__biz=MzI0MDEzODM0Ng==&amp;mid=2247526882&amp;idx=1&amp;sn=c5513bf29926c6bb0d0ffce5929deb5e&amp;chksm=e91d48e7de6ac1f10584ee609eb12668341a2bb6d6e0fa8d00843ca0117a4abd7343dc646edb&amp;mpshare=1&amp;scene=23&amp;srcid=0813XRaZ2Ytxo9ke3R1qNlyb&amp;sharer_sharetime=1660321015361&amp;sharer_shareid=ef9f43045b0aebd2baa10093de37715e#rd</w:t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https://www.bilibili.com/video/BV1YM4y157Gt</w:t>
            </w:r>
          </w:p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8"/>
                <w:szCs w:val="28"/>
                <w:lang w:bidi="ar"/>
              </w:rPr>
              <w:t>https://www.bilibili.com/video/BV1B64y1h74j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D11AD6"/>
    <w:multiLevelType w:val="multilevel"/>
    <w:tmpl w:val="3AD11AD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xYjNiYWRiM2JkYTZhMzkxM2UwM2RkMzc4YTViYTMifQ=="/>
  </w:docVars>
  <w:rsids>
    <w:rsidRoot w:val="008F6B15"/>
    <w:rsid w:val="00013631"/>
    <w:rsid w:val="000A34C3"/>
    <w:rsid w:val="001664D9"/>
    <w:rsid w:val="001D7C73"/>
    <w:rsid w:val="00201EB5"/>
    <w:rsid w:val="0021053B"/>
    <w:rsid w:val="00315CD5"/>
    <w:rsid w:val="00453EBF"/>
    <w:rsid w:val="004C6F93"/>
    <w:rsid w:val="004E216C"/>
    <w:rsid w:val="00510C42"/>
    <w:rsid w:val="005A727C"/>
    <w:rsid w:val="008F6B15"/>
    <w:rsid w:val="00BA1CF6"/>
    <w:rsid w:val="00D864BA"/>
    <w:rsid w:val="00E556E6"/>
    <w:rsid w:val="06881AE9"/>
    <w:rsid w:val="09AC3295"/>
    <w:rsid w:val="13622204"/>
    <w:rsid w:val="1B314747"/>
    <w:rsid w:val="2221772E"/>
    <w:rsid w:val="27E23591"/>
    <w:rsid w:val="28733FA2"/>
    <w:rsid w:val="2D3B5B48"/>
    <w:rsid w:val="2E935A17"/>
    <w:rsid w:val="346B791B"/>
    <w:rsid w:val="388F0957"/>
    <w:rsid w:val="3D913562"/>
    <w:rsid w:val="41DC458F"/>
    <w:rsid w:val="46ED14F4"/>
    <w:rsid w:val="52B479CC"/>
    <w:rsid w:val="599E2E37"/>
    <w:rsid w:val="59B27453"/>
    <w:rsid w:val="609A4358"/>
    <w:rsid w:val="646A4C11"/>
    <w:rsid w:val="672A3F5C"/>
    <w:rsid w:val="6B5207BF"/>
    <w:rsid w:val="723358D0"/>
    <w:rsid w:val="76784BC3"/>
    <w:rsid w:val="779A47E6"/>
    <w:rsid w:val="78EF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iPriority w:val="0"/>
    <w:rPr>
      <w:sz w:val="24"/>
    </w:rPr>
  </w:style>
  <w:style w:type="character" w:customStyle="1" w:styleId="7">
    <w:name w:val="font21"/>
    <w:basedOn w:val="6"/>
    <w:qFormat/>
    <w:uiPriority w:val="0"/>
    <w:rPr>
      <w:rFonts w:hint="eastAsia" w:ascii="宋体" w:hAnsi="宋体" w:eastAsia="宋体" w:cs="宋体"/>
      <w:color w:val="000000"/>
      <w:sz w:val="28"/>
      <w:szCs w:val="28"/>
      <w:u w:val="none"/>
    </w:rPr>
  </w:style>
  <w:style w:type="character" w:customStyle="1" w:styleId="8">
    <w:name w:val="font11"/>
    <w:basedOn w:val="6"/>
    <w:qFormat/>
    <w:uiPriority w:val="0"/>
    <w:rPr>
      <w:rFonts w:hint="eastAsia" w:ascii="宋体" w:hAnsi="宋体" w:eastAsia="宋体" w:cs="宋体"/>
      <w:color w:val="0000FF"/>
      <w:sz w:val="28"/>
      <w:szCs w:val="28"/>
      <w:u w:val="none"/>
    </w:rPr>
  </w:style>
  <w:style w:type="character" w:customStyle="1" w:styleId="9">
    <w:name w:val="font01"/>
    <w:basedOn w:val="6"/>
    <w:qFormat/>
    <w:uiPriority w:val="0"/>
    <w:rPr>
      <w:rFonts w:hint="eastAsia" w:ascii="宋体" w:hAnsi="宋体" w:eastAsia="宋体" w:cs="宋体"/>
      <w:i/>
      <w:color w:val="000000"/>
      <w:sz w:val="28"/>
      <w:szCs w:val="28"/>
      <w:u w:val="none"/>
    </w:rPr>
  </w:style>
  <w:style w:type="paragraph" w:customStyle="1" w:styleId="10">
    <w:name w:val="样式7"/>
    <w:basedOn w:val="1"/>
    <w:qFormat/>
    <w:uiPriority w:val="0"/>
    <w:pPr>
      <w:autoSpaceDE w:val="0"/>
      <w:autoSpaceDN w:val="0"/>
      <w:adjustRightInd w:val="0"/>
      <w:jc w:val="center"/>
    </w:pPr>
    <w:rPr>
      <w:kern w:val="20"/>
      <w:sz w:val="30"/>
    </w:rPr>
  </w:style>
  <w:style w:type="character" w:customStyle="1" w:styleId="11">
    <w:name w:val="页眉 字符"/>
    <w:basedOn w:val="6"/>
    <w:link w:val="3"/>
    <w:uiPriority w:val="0"/>
    <w:rPr>
      <w:kern w:val="2"/>
      <w:sz w:val="18"/>
      <w:szCs w:val="18"/>
    </w:rPr>
  </w:style>
  <w:style w:type="character" w:customStyle="1" w:styleId="12">
    <w:name w:val="页脚 字符"/>
    <w:basedOn w:val="6"/>
    <w:link w:val="2"/>
    <w:uiPriority w:val="0"/>
    <w:rPr>
      <w:kern w:val="2"/>
      <w:sz w:val="18"/>
      <w:szCs w:val="18"/>
    </w:rPr>
  </w:style>
  <w:style w:type="paragraph" w:styleId="13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1619</Words>
  <Characters>2750</Characters>
  <Lines>1</Lines>
  <Paragraphs>1</Paragraphs>
  <TotalTime>277</TotalTime>
  <ScaleCrop>false</ScaleCrop>
  <LinksUpToDate>false</LinksUpToDate>
  <CharactersWithSpaces>2759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Tintin</cp:lastModifiedBy>
  <dcterms:modified xsi:type="dcterms:W3CDTF">2022-08-13T01:42:46Z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AAB040D2D1FA49E5B76D642EE2133CEF</vt:lpwstr>
  </property>
</Properties>
</file>