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lang w:val="en-US" w:eastAsia="zh-CN"/>
        </w:rPr>
      </w:pPr>
      <w:r>
        <w:rPr>
          <w:rFonts w:hint="eastAsia"/>
          <w:lang w:val="en-US" w:eastAsia="zh-CN"/>
        </w:rPr>
        <w:t>2022赛季南工骁鹰雷达计划报告</w:t>
      </w:r>
    </w:p>
    <w:p>
      <w:pPr>
        <w:numPr>
          <w:ilvl w:val="0"/>
          <w:numId w:val="2"/>
        </w:numPr>
        <w:ind w:left="420" w:leftChars="0" w:firstLine="0" w:firstLineChars="0"/>
        <w:jc w:val="left"/>
        <w:outlineLvl w:val="0"/>
        <w:rPr>
          <w:rFonts w:hint="default"/>
          <w:lang w:val="en-US" w:eastAsia="zh-CN"/>
        </w:rPr>
      </w:pPr>
      <w:r>
        <w:rPr>
          <w:rFonts w:hint="eastAsia"/>
          <w:lang w:val="en-US" w:eastAsia="zh-CN"/>
        </w:rPr>
        <w:t>规则解读</w:t>
      </w:r>
    </w:p>
    <w:p>
      <w:pPr>
        <w:numPr>
          <w:ilvl w:val="1"/>
          <w:numId w:val="2"/>
        </w:numPr>
        <w:ind w:left="840" w:leftChars="0" w:firstLine="0" w:firstLineChars="0"/>
        <w:jc w:val="left"/>
        <w:outlineLvl w:val="1"/>
        <w:rPr>
          <w:rFonts w:hint="default"/>
          <w:lang w:val="en-US" w:eastAsia="zh-CN"/>
        </w:rPr>
      </w:pPr>
      <w:r>
        <w:rPr>
          <w:rFonts w:hint="eastAsia"/>
          <w:lang w:val="en-US" w:eastAsia="zh-CN"/>
        </w:rPr>
        <w:t>规则变化：</w:t>
      </w:r>
    </w:p>
    <w:p>
      <w:pPr>
        <w:numPr>
          <w:numId w:val="0"/>
        </w:numPr>
        <w:ind w:left="840" w:leftChars="0" w:firstLine="420" w:firstLineChars="0"/>
        <w:jc w:val="left"/>
        <w:rPr>
          <w:rFonts w:hint="eastAsia"/>
          <w:lang w:val="en-US" w:eastAsia="zh-CN"/>
        </w:rPr>
      </w:pPr>
      <w:r>
        <w:rPr>
          <w:rFonts w:hint="eastAsia"/>
          <w:lang w:val="en-US" w:eastAsia="zh-CN"/>
        </w:rPr>
        <w:t>在这个赛季，雷达兵种的设计规则并没有发生变化，但是结合其他兵种规则的变化，雷达在战场中的重要性得到增强，表现在一下两点。</w:t>
      </w:r>
    </w:p>
    <w:p>
      <w:pPr>
        <w:numPr>
          <w:ilvl w:val="0"/>
          <w:numId w:val="3"/>
        </w:numPr>
        <w:ind w:left="840" w:leftChars="0" w:firstLine="420" w:firstLineChars="0"/>
        <w:jc w:val="left"/>
        <w:rPr>
          <w:rFonts w:hint="default"/>
          <w:lang w:val="en-US" w:eastAsia="zh-CN"/>
        </w:rPr>
      </w:pPr>
      <w:r>
        <w:rPr>
          <w:rFonts w:hint="eastAsia"/>
          <w:lang w:val="en-US" w:eastAsia="zh-CN"/>
        </w:rPr>
        <w:t>对方飞镖若击中我方目标，则我方操作手界面被遮挡10s，在这期间我方的地面机器人处于非常危险的状态，需要雷达给出对方机器人的位置，从而帮助我方目标存活。</w:t>
      </w:r>
    </w:p>
    <w:p>
      <w:pPr>
        <w:numPr>
          <w:ilvl w:val="0"/>
          <w:numId w:val="3"/>
        </w:numPr>
        <w:ind w:left="840" w:leftChars="0" w:firstLine="420" w:firstLineChars="0"/>
        <w:jc w:val="left"/>
        <w:rPr>
          <w:rFonts w:hint="default"/>
          <w:lang w:val="en-US" w:eastAsia="zh-CN"/>
        </w:rPr>
      </w:pPr>
      <w:r>
        <w:rPr>
          <w:rFonts w:hint="eastAsia"/>
          <w:lang w:val="en-US" w:eastAsia="zh-CN"/>
        </w:rPr>
        <w:t>在联盟赛的自动步兵对抗赛中，雷达允许上场，说明雷达和自动步兵的交互是未来比赛的一个重要的发展方向，需要提前做好准备。</w:t>
      </w:r>
    </w:p>
    <w:p>
      <w:pPr>
        <w:numPr>
          <w:ilvl w:val="1"/>
          <w:numId w:val="2"/>
        </w:numPr>
        <w:ind w:left="840" w:leftChars="0" w:firstLine="0" w:firstLineChars="0"/>
        <w:jc w:val="left"/>
        <w:outlineLvl w:val="1"/>
        <w:rPr>
          <w:rFonts w:hint="default"/>
          <w:lang w:val="en-US" w:eastAsia="zh-CN"/>
        </w:rPr>
      </w:pPr>
      <w:r>
        <w:rPr>
          <w:rFonts w:hint="eastAsia"/>
          <w:lang w:val="en-US" w:eastAsia="zh-CN"/>
        </w:rPr>
        <w:t>去年规则</w:t>
      </w:r>
    </w:p>
    <w:p>
      <w:pPr>
        <w:numPr>
          <w:ilvl w:val="0"/>
          <w:numId w:val="4"/>
        </w:numPr>
        <w:ind w:left="1685" w:leftChars="0" w:hanging="425" w:firstLineChars="0"/>
        <w:jc w:val="left"/>
        <w:rPr>
          <w:rFonts w:hint="eastAsia"/>
          <w:lang w:val="en-US" w:eastAsia="zh-CN"/>
        </w:rPr>
      </w:pPr>
      <w:r>
        <w:rPr>
          <w:rFonts w:hint="eastAsia"/>
          <w:lang w:val="en-US" w:eastAsia="zh-CN"/>
        </w:rPr>
        <w:t>操作手：云台手</w:t>
      </w:r>
    </w:p>
    <w:p>
      <w:pPr>
        <w:numPr>
          <w:ilvl w:val="0"/>
          <w:numId w:val="4"/>
        </w:numPr>
        <w:ind w:left="1685" w:leftChars="0" w:hanging="425" w:firstLineChars="0"/>
        <w:jc w:val="left"/>
        <w:rPr>
          <w:rFonts w:hint="eastAsia"/>
          <w:lang w:val="en-US" w:eastAsia="zh-CN"/>
        </w:rPr>
      </w:pPr>
      <w:r>
        <w:rPr>
          <w:rFonts w:hint="eastAsia"/>
          <w:lang w:val="en-US" w:eastAsia="zh-CN"/>
        </w:rPr>
        <w:t>显示器显示雷达传输的信源画面。</w:t>
      </w:r>
    </w:p>
    <w:p>
      <w:pPr>
        <w:numPr>
          <w:ilvl w:val="0"/>
          <w:numId w:val="4"/>
        </w:numPr>
        <w:ind w:left="1685" w:leftChars="0" w:hanging="425" w:firstLineChars="0"/>
        <w:jc w:val="left"/>
        <w:rPr>
          <w:rFonts w:hint="eastAsia"/>
          <w:lang w:val="en-US" w:eastAsia="zh-CN"/>
        </w:rPr>
      </w:pPr>
      <w:r>
        <w:rPr>
          <w:rFonts w:hint="eastAsia"/>
          <w:lang w:val="en-US" w:eastAsia="zh-CN"/>
        </w:rPr>
        <w:t>位置：雷达基座</w:t>
      </w:r>
    </w:p>
    <w:p>
      <w:pPr>
        <w:numPr>
          <w:numId w:val="0"/>
        </w:numPr>
        <w:ind w:left="1260" w:leftChars="0" w:firstLine="420" w:firstLineChars="0"/>
        <w:jc w:val="left"/>
        <w:rPr>
          <w:rFonts w:hint="eastAsia"/>
          <w:lang w:val="en-US" w:eastAsia="zh-CN"/>
        </w:rPr>
      </w:pPr>
      <w:r>
        <w:rPr>
          <w:rFonts w:hint="eastAsia"/>
          <w:lang w:val="en-US" w:eastAsia="zh-CN"/>
        </w:rPr>
        <w:t>雷达基座是用于放置雷达传感器的平台，位于基地区，放置在战场外。</w:t>
      </w:r>
    </w:p>
    <w:p>
      <w:pPr>
        <w:numPr>
          <w:ilvl w:val="0"/>
          <w:numId w:val="4"/>
        </w:numPr>
        <w:ind w:left="1685" w:leftChars="0" w:hanging="425" w:firstLineChars="0"/>
        <w:jc w:val="left"/>
        <w:rPr>
          <w:rFonts w:hint="eastAsia"/>
          <w:lang w:val="en-US" w:eastAsia="zh-CN"/>
        </w:rPr>
      </w:pPr>
      <w:r>
        <w:rPr>
          <w:rFonts w:hint="eastAsia"/>
          <w:lang w:val="en-US" w:eastAsia="zh-CN"/>
        </w:rPr>
        <w:t>传感器：雷达传感器支架需要具有便携性</w:t>
      </w:r>
    </w:p>
    <w:p>
      <w:pPr>
        <w:numPr>
          <w:numId w:val="0"/>
        </w:numPr>
        <w:ind w:left="1260" w:leftChars="0" w:firstLine="420" w:firstLineChars="0"/>
        <w:jc w:val="left"/>
        <w:rPr>
          <w:rFonts w:hint="eastAsia"/>
          <w:lang w:val="en-US" w:eastAsia="zh-CN"/>
        </w:rPr>
      </w:pPr>
      <w:r>
        <w:rPr>
          <w:rFonts w:hint="eastAsia"/>
          <w:lang w:val="en-US" w:eastAsia="zh-CN"/>
        </w:rPr>
        <w:t>只能使用小型的传感器（激光雷达、摄像机系统）</w:t>
      </w:r>
    </w:p>
    <w:p>
      <w:pPr>
        <w:numPr>
          <w:ilvl w:val="0"/>
          <w:numId w:val="4"/>
        </w:numPr>
        <w:ind w:left="1685" w:leftChars="0" w:hanging="425" w:firstLineChars="0"/>
        <w:jc w:val="left"/>
        <w:rPr>
          <w:rFonts w:hint="eastAsia"/>
          <w:lang w:val="en-US" w:eastAsia="zh-CN"/>
        </w:rPr>
      </w:pPr>
      <w:r>
        <w:rPr>
          <w:rFonts w:hint="eastAsia"/>
          <w:lang w:val="en-US" w:eastAsia="zh-CN"/>
        </w:rPr>
        <w:t>供电：雷达的运算端通过 220V 市电供电。最大功率750W。</w:t>
      </w:r>
    </w:p>
    <w:p>
      <w:pPr>
        <w:numPr>
          <w:numId w:val="0"/>
        </w:numPr>
        <w:ind w:left="1260" w:leftChars="0" w:firstLine="420" w:firstLineChars="0"/>
        <w:jc w:val="left"/>
        <w:rPr>
          <w:rFonts w:hint="eastAsia"/>
          <w:lang w:val="en-US" w:eastAsia="zh-CN"/>
        </w:rPr>
      </w:pPr>
      <w:r>
        <w:rPr>
          <w:rFonts w:hint="eastAsia"/>
          <w:lang w:val="en-US" w:eastAsia="zh-CN"/>
        </w:rPr>
        <w:t>意味着可以使用主机电脑等高性能运算设备。</w:t>
      </w:r>
    </w:p>
    <w:p>
      <w:pPr>
        <w:numPr>
          <w:ilvl w:val="0"/>
          <w:numId w:val="4"/>
        </w:numPr>
        <w:ind w:left="1685" w:leftChars="0" w:hanging="425" w:firstLineChars="0"/>
        <w:jc w:val="left"/>
        <w:rPr>
          <w:rFonts w:ascii="宋体" w:hAnsi="宋体"/>
        </w:rPr>
      </w:pPr>
      <w:r>
        <w:rPr>
          <w:rFonts w:hint="eastAsia"/>
          <w:lang w:val="en-US" w:eastAsia="zh-CN"/>
        </w:rPr>
        <w:t>准备阶段：三分钟准备阶段将雷达布置与雷达基座上。场地人员不可在裁判系统自检阶段</w:t>
      </w:r>
      <w:r>
        <w:rPr>
          <w:rFonts w:hint="eastAsia"/>
          <w:lang w:val="en-US" w:eastAsia="zh-CN"/>
        </w:rPr>
        <w:tab/>
      </w:r>
      <w:r>
        <w:rPr>
          <w:rFonts w:hint="eastAsia"/>
          <w:lang w:val="en-US" w:eastAsia="zh-CN"/>
        </w:rPr>
        <w:t>开始后使用遥控器调试雷达.</w:t>
      </w:r>
    </w:p>
    <w:p>
      <w:pPr>
        <w:numPr>
          <w:ilvl w:val="1"/>
          <w:numId w:val="2"/>
        </w:numPr>
        <w:ind w:left="840" w:leftChars="0" w:firstLine="0" w:firstLineChars="0"/>
        <w:jc w:val="left"/>
        <w:rPr>
          <w:rFonts w:hint="default"/>
          <w:lang w:val="en-US" w:eastAsia="zh-CN"/>
        </w:rPr>
      </w:pPr>
      <w:r>
        <w:rPr>
          <w:rFonts w:hint="eastAsia"/>
          <w:lang w:val="en-US" w:eastAsia="zh-CN"/>
        </w:rPr>
        <w:tab/>
      </w:r>
    </w:p>
    <w:p>
      <w:pPr>
        <w:numPr>
          <w:ilvl w:val="1"/>
          <w:numId w:val="2"/>
        </w:numPr>
        <w:ind w:left="840" w:leftChars="0" w:firstLine="0" w:firstLineChars="0"/>
        <w:jc w:val="left"/>
        <w:outlineLvl w:val="1"/>
        <w:rPr>
          <w:rFonts w:hint="default"/>
          <w:lang w:val="en-US" w:eastAsia="zh-CN"/>
        </w:rPr>
      </w:pPr>
      <w:r>
        <w:rPr>
          <w:rFonts w:hint="eastAsia"/>
          <w:lang w:val="en-US" w:eastAsia="zh-CN"/>
        </w:rPr>
        <w:t>雷达兵种定位</w:t>
      </w:r>
    </w:p>
    <w:p>
      <w:pPr>
        <w:numPr>
          <w:ilvl w:val="2"/>
          <w:numId w:val="2"/>
        </w:numPr>
        <w:ind w:left="1260" w:leftChars="0" w:firstLine="0" w:firstLineChars="0"/>
        <w:jc w:val="left"/>
        <w:rPr>
          <w:rFonts w:hint="default"/>
          <w:lang w:val="en-US" w:eastAsia="zh-CN"/>
        </w:rPr>
      </w:pPr>
      <w:r>
        <w:rPr>
          <w:rFonts w:hint="eastAsia"/>
          <w:lang w:val="en-US" w:eastAsia="zh-CN"/>
        </w:rPr>
        <w:t>2021赛季是雷达兵种出现的第一个赛季，第一代雷达仅仅具有视野提供和小地图标点功能，功能欠缺，与强队的雷达还存在较大的差距。</w:t>
      </w:r>
    </w:p>
    <w:p>
      <w:pPr>
        <w:numPr>
          <w:ilvl w:val="2"/>
          <w:numId w:val="2"/>
        </w:numPr>
        <w:ind w:left="1260" w:leftChars="0" w:firstLine="0" w:firstLineChars="0"/>
        <w:jc w:val="left"/>
        <w:rPr>
          <w:rFonts w:hint="default"/>
          <w:lang w:val="en-US" w:eastAsia="zh-CN"/>
        </w:rPr>
      </w:pPr>
      <w:r>
        <w:rPr>
          <w:rFonts w:hint="eastAsia"/>
          <w:lang w:val="en-US" w:eastAsia="zh-CN"/>
        </w:rPr>
        <w:t>上交雷达对现阶段第二代雷达开发的重要意义</w:t>
      </w:r>
    </w:p>
    <w:p>
      <w:pPr>
        <w:numPr>
          <w:ilvl w:val="0"/>
          <w:numId w:val="5"/>
        </w:numPr>
        <w:ind w:left="1680" w:leftChars="0" w:firstLine="420" w:firstLineChars="0"/>
        <w:jc w:val="left"/>
        <w:rPr>
          <w:rFonts w:hint="default"/>
          <w:lang w:val="en-US" w:eastAsia="zh-CN"/>
        </w:rPr>
      </w:pPr>
      <w:r>
        <w:rPr>
          <w:rFonts w:hint="eastAsia"/>
          <w:lang w:val="en-US" w:eastAsia="zh-CN"/>
        </w:rPr>
        <w:t>上海交通大学的雷达功能齐全，包括：视野提供，小地图标点，飞镖预警，血量提示，战场重要情况提示，战场重要位置放大等功能。对云台手观察战场信息帮助极大。</w:t>
      </w:r>
    </w:p>
    <w:p>
      <w:pPr>
        <w:numPr>
          <w:ilvl w:val="0"/>
          <w:numId w:val="5"/>
        </w:numPr>
        <w:ind w:left="1680" w:leftChars="0" w:firstLine="420" w:firstLineChars="0"/>
        <w:jc w:val="left"/>
        <w:rPr>
          <w:rFonts w:hint="default"/>
          <w:lang w:val="en-US" w:eastAsia="zh-CN"/>
        </w:rPr>
      </w:pPr>
      <w:r>
        <w:rPr>
          <w:rFonts w:hint="eastAsia"/>
          <w:lang w:val="en-US" w:eastAsia="zh-CN"/>
        </w:rPr>
        <w:t>上海交通大学雷达站的发展方向对第二代雷达站的发展方向有重要的指导意义。未来的雷达站应该是作为决策中心和信息提供中心，为云台手提供决策帮助和决策指导。</w:t>
      </w:r>
    </w:p>
    <w:p>
      <w:pPr>
        <w:numPr>
          <w:ilvl w:val="0"/>
          <w:numId w:val="2"/>
        </w:numPr>
        <w:ind w:left="420" w:leftChars="0" w:firstLine="0" w:firstLineChars="0"/>
        <w:jc w:val="left"/>
        <w:outlineLvl w:val="0"/>
        <w:rPr>
          <w:rFonts w:hint="default"/>
          <w:lang w:val="en-US" w:eastAsia="zh-CN"/>
        </w:rPr>
      </w:pPr>
      <w:r>
        <w:rPr>
          <w:rFonts w:hint="eastAsia"/>
          <w:lang w:val="en-US" w:eastAsia="zh-CN"/>
        </w:rPr>
        <w:t>需求分析</w:t>
      </w:r>
    </w:p>
    <w:p>
      <w:pPr>
        <w:numPr>
          <w:ilvl w:val="1"/>
          <w:numId w:val="2"/>
        </w:numPr>
        <w:ind w:left="840" w:leftChars="0" w:firstLine="0" w:firstLineChars="0"/>
        <w:jc w:val="left"/>
        <w:outlineLvl w:val="1"/>
        <w:rPr>
          <w:rFonts w:hint="default"/>
          <w:lang w:val="en-US" w:eastAsia="zh-CN"/>
        </w:rPr>
      </w:pPr>
      <w:r>
        <w:rPr>
          <w:rFonts w:hint="eastAsia"/>
          <w:lang w:val="en-US" w:eastAsia="zh-CN"/>
        </w:rPr>
        <w:t>视野提供与小地图标点（基本功能）</w:t>
      </w:r>
    </w:p>
    <w:p>
      <w:pPr>
        <w:numPr>
          <w:ilvl w:val="1"/>
          <w:numId w:val="2"/>
        </w:numPr>
        <w:ind w:left="840" w:leftChars="0" w:firstLine="0" w:firstLineChars="0"/>
        <w:jc w:val="left"/>
        <w:outlineLvl w:val="1"/>
        <w:rPr>
          <w:rFonts w:hint="default"/>
          <w:lang w:val="en-US" w:eastAsia="zh-CN"/>
        </w:rPr>
      </w:pPr>
      <w:r>
        <w:rPr>
          <w:rFonts w:hint="eastAsia"/>
          <w:lang w:val="en-US" w:eastAsia="zh-CN"/>
        </w:rPr>
        <w:t>血量提示（基本功能）</w:t>
      </w:r>
    </w:p>
    <w:p>
      <w:pPr>
        <w:numPr>
          <w:ilvl w:val="1"/>
          <w:numId w:val="2"/>
        </w:numPr>
        <w:ind w:left="840" w:leftChars="0" w:firstLine="0" w:firstLineChars="0"/>
        <w:jc w:val="left"/>
        <w:outlineLvl w:val="1"/>
        <w:rPr>
          <w:rFonts w:hint="default"/>
          <w:lang w:val="en-US" w:eastAsia="zh-CN"/>
        </w:rPr>
      </w:pPr>
      <w:r>
        <w:rPr>
          <w:rFonts w:hint="eastAsia"/>
          <w:lang w:val="en-US" w:eastAsia="zh-CN"/>
        </w:rPr>
        <w:t>飞镖信息提示与飞镖落点预测</w:t>
      </w:r>
    </w:p>
    <w:p>
      <w:pPr>
        <w:numPr>
          <w:ilvl w:val="1"/>
          <w:numId w:val="2"/>
        </w:numPr>
        <w:ind w:left="840" w:leftChars="0" w:firstLine="0" w:firstLineChars="0"/>
        <w:jc w:val="left"/>
        <w:outlineLvl w:val="1"/>
        <w:rPr>
          <w:rFonts w:hint="default"/>
          <w:lang w:val="en-US" w:eastAsia="zh-CN"/>
        </w:rPr>
      </w:pPr>
      <w:r>
        <w:rPr>
          <w:rFonts w:hint="eastAsia"/>
          <w:lang w:val="en-US" w:eastAsia="zh-CN"/>
        </w:rPr>
        <w:t>战场重要信息提示（比如：飞坡预警，）</w:t>
      </w:r>
    </w:p>
    <w:p>
      <w:pPr>
        <w:numPr>
          <w:ilvl w:val="1"/>
          <w:numId w:val="2"/>
        </w:numPr>
        <w:ind w:left="840" w:leftChars="0" w:firstLine="0" w:firstLineChars="0"/>
        <w:jc w:val="left"/>
        <w:outlineLvl w:val="1"/>
        <w:rPr>
          <w:rFonts w:hint="default"/>
          <w:lang w:val="en-US" w:eastAsia="zh-CN"/>
        </w:rPr>
      </w:pPr>
      <w:r>
        <w:rPr>
          <w:rFonts w:hint="eastAsia"/>
          <w:lang w:val="en-US" w:eastAsia="zh-CN"/>
        </w:rPr>
        <w:t>重要战场局部画面放大功能。</w:t>
      </w:r>
    </w:p>
    <w:p>
      <w:pPr>
        <w:numPr>
          <w:ilvl w:val="1"/>
          <w:numId w:val="2"/>
        </w:numPr>
        <w:ind w:left="840" w:leftChars="0" w:firstLine="0" w:firstLineChars="0"/>
        <w:jc w:val="left"/>
        <w:outlineLvl w:val="1"/>
        <w:rPr>
          <w:rFonts w:hint="default"/>
          <w:lang w:val="en-US" w:eastAsia="zh-CN"/>
        </w:rPr>
      </w:pPr>
      <w:r>
        <w:rPr>
          <w:rFonts w:hint="eastAsia"/>
          <w:lang w:val="en-US" w:eastAsia="zh-CN"/>
        </w:rPr>
        <w:t>与自动步兵协同功能（未来开发方向）</w:t>
      </w:r>
    </w:p>
    <w:p>
      <w:pPr>
        <w:numPr>
          <w:numId w:val="0"/>
        </w:numPr>
        <w:ind w:left="840" w:leftChars="0"/>
        <w:jc w:val="left"/>
        <w:rPr>
          <w:rFonts w:hint="default"/>
          <w:lang w:val="en-US" w:eastAsia="zh-CN"/>
        </w:rPr>
      </w:pPr>
    </w:p>
    <w:p>
      <w:pPr>
        <w:numPr>
          <w:numId w:val="0"/>
        </w:numPr>
        <w:ind w:left="840" w:leftChars="0"/>
        <w:jc w:val="left"/>
        <w:rPr>
          <w:rFonts w:hint="default"/>
          <w:lang w:val="en-US" w:eastAsia="zh-CN"/>
        </w:rPr>
      </w:pPr>
    </w:p>
    <w:p>
      <w:pPr>
        <w:numPr>
          <w:numId w:val="0"/>
        </w:numPr>
        <w:ind w:left="840" w:leftChars="0"/>
        <w:jc w:val="left"/>
        <w:rPr>
          <w:rFonts w:hint="default"/>
          <w:lang w:val="en-US" w:eastAsia="zh-CN"/>
        </w:rPr>
      </w:pPr>
    </w:p>
    <w:p>
      <w:pPr>
        <w:numPr>
          <w:numId w:val="0"/>
        </w:numPr>
        <w:ind w:left="840" w:leftChars="0"/>
        <w:jc w:val="left"/>
        <w:rPr>
          <w:rFonts w:hint="default"/>
          <w:lang w:val="en-US" w:eastAsia="zh-CN"/>
        </w:rPr>
      </w:pPr>
    </w:p>
    <w:p>
      <w:pPr>
        <w:numPr>
          <w:numId w:val="0"/>
        </w:numPr>
        <w:ind w:left="840" w:leftChars="0"/>
        <w:jc w:val="left"/>
        <w:rPr>
          <w:rFonts w:hint="default"/>
          <w:lang w:val="en-US" w:eastAsia="zh-CN"/>
        </w:rPr>
      </w:pPr>
    </w:p>
    <w:p>
      <w:pPr>
        <w:numPr>
          <w:ilvl w:val="0"/>
          <w:numId w:val="2"/>
        </w:numPr>
        <w:ind w:left="420" w:leftChars="0" w:firstLine="0" w:firstLineChars="0"/>
        <w:jc w:val="left"/>
        <w:outlineLvl w:val="0"/>
        <w:rPr>
          <w:rFonts w:hint="default"/>
          <w:lang w:val="en-US" w:eastAsia="zh-CN"/>
        </w:rPr>
      </w:pPr>
      <w:r>
        <w:rPr>
          <w:rFonts w:hint="eastAsia"/>
          <w:lang w:val="en-US" w:eastAsia="zh-CN"/>
        </w:rPr>
        <w:t>研发进度安排</w:t>
      </w:r>
      <w:bookmarkStart w:id="0" w:name="_GoBack"/>
      <w:bookmarkEnd w:id="0"/>
    </w:p>
    <w:tbl>
      <w:tblPr>
        <w:tblStyle w:val="3"/>
        <w:tblpPr w:leftFromText="180" w:rightFromText="180" w:vertAnchor="text" w:horzAnchor="page" w:tblpX="2396" w:tblpY="144"/>
        <w:tblOverlap w:val="never"/>
        <w:tblW w:w="68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center"/>
          </w:tcPr>
          <w:p>
            <w:pPr>
              <w:numPr>
                <w:ilvl w:val="0"/>
                <w:numId w:val="0"/>
              </w:numPr>
              <w:jc w:val="left"/>
              <w:rPr>
                <w:rFonts w:hint="default"/>
                <w:vertAlign w:val="baseline"/>
                <w:lang w:val="en-US" w:eastAsia="zh-CN"/>
              </w:rPr>
            </w:pPr>
            <w:r>
              <w:rPr>
                <w:rFonts w:hint="eastAsia"/>
                <w:vertAlign w:val="baseline"/>
                <w:lang w:val="en-US" w:eastAsia="zh-CN"/>
              </w:rPr>
              <w:t>2021年11月底</w:t>
            </w:r>
          </w:p>
        </w:tc>
        <w:tc>
          <w:tcPr>
            <w:tcW w:w="4261" w:type="dxa"/>
          </w:tcPr>
          <w:p>
            <w:pPr>
              <w:numPr>
                <w:ilvl w:val="0"/>
                <w:numId w:val="0"/>
              </w:numPr>
              <w:jc w:val="left"/>
              <w:rPr>
                <w:rFonts w:hint="default"/>
                <w:vertAlign w:val="baseline"/>
                <w:lang w:val="en-US" w:eastAsia="zh-CN"/>
              </w:rPr>
            </w:pPr>
            <w:r>
              <w:rPr>
                <w:rFonts w:hint="eastAsia"/>
                <w:vertAlign w:val="baseline"/>
                <w:lang w:val="en-US" w:eastAsia="zh-CN"/>
              </w:rPr>
              <w:t>完成雷达站基本功能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center"/>
          </w:tcPr>
          <w:p>
            <w:pPr>
              <w:numPr>
                <w:ilvl w:val="0"/>
                <w:numId w:val="0"/>
              </w:numPr>
              <w:jc w:val="left"/>
              <w:rPr>
                <w:rFonts w:hint="default"/>
                <w:vertAlign w:val="baseline"/>
                <w:lang w:val="en-US" w:eastAsia="zh-CN"/>
              </w:rPr>
            </w:pPr>
            <w:r>
              <w:rPr>
                <w:rFonts w:hint="eastAsia"/>
                <w:vertAlign w:val="baseline"/>
                <w:lang w:val="en-US" w:eastAsia="zh-CN"/>
              </w:rPr>
              <w:t>2021年12月</w:t>
            </w:r>
          </w:p>
        </w:tc>
        <w:tc>
          <w:tcPr>
            <w:tcW w:w="4261" w:type="dxa"/>
          </w:tcPr>
          <w:p>
            <w:pPr>
              <w:numPr>
                <w:ilvl w:val="0"/>
                <w:numId w:val="0"/>
              </w:numPr>
              <w:jc w:val="left"/>
              <w:rPr>
                <w:rFonts w:hint="default"/>
                <w:vertAlign w:val="baseline"/>
                <w:lang w:val="en-US" w:eastAsia="zh-CN"/>
              </w:rPr>
            </w:pPr>
            <w:r>
              <w:rPr>
                <w:rFonts w:hint="eastAsia"/>
                <w:vertAlign w:val="baseline"/>
                <w:lang w:val="en-US" w:eastAsia="zh-CN"/>
              </w:rPr>
              <w:t>对11月底的初版设计进行完善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2638" w:type="dxa"/>
            <w:vAlign w:val="center"/>
          </w:tcPr>
          <w:p>
            <w:pPr>
              <w:numPr>
                <w:ilvl w:val="0"/>
                <w:numId w:val="0"/>
              </w:numPr>
              <w:jc w:val="left"/>
              <w:rPr>
                <w:rFonts w:hint="default"/>
                <w:vertAlign w:val="baseline"/>
                <w:lang w:val="en-US" w:eastAsia="zh-CN"/>
              </w:rPr>
            </w:pPr>
            <w:r>
              <w:rPr>
                <w:rFonts w:hint="eastAsia"/>
                <w:vertAlign w:val="baseline"/>
                <w:lang w:val="en-US" w:eastAsia="zh-CN"/>
              </w:rPr>
              <w:t>2022年1月</w:t>
            </w:r>
          </w:p>
        </w:tc>
        <w:tc>
          <w:tcPr>
            <w:tcW w:w="4261" w:type="dxa"/>
          </w:tcPr>
          <w:p>
            <w:pPr>
              <w:numPr>
                <w:ilvl w:val="0"/>
                <w:numId w:val="0"/>
              </w:numPr>
              <w:jc w:val="left"/>
              <w:rPr>
                <w:rFonts w:hint="default"/>
                <w:vertAlign w:val="baseline"/>
                <w:lang w:val="en-US" w:eastAsia="zh-CN"/>
              </w:rPr>
            </w:pPr>
            <w:r>
              <w:rPr>
                <w:rFonts w:hint="eastAsia"/>
                <w:vertAlign w:val="baseline"/>
                <w:lang w:val="en-US" w:eastAsia="zh-CN"/>
              </w:rPr>
              <w:t>结合通信协议完成除自动步兵协同功能外的其他剩余功能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center"/>
          </w:tcPr>
          <w:p>
            <w:pPr>
              <w:numPr>
                <w:ilvl w:val="0"/>
                <w:numId w:val="0"/>
              </w:numPr>
              <w:jc w:val="left"/>
              <w:rPr>
                <w:rFonts w:hint="default"/>
                <w:vertAlign w:val="baseline"/>
                <w:lang w:val="en-US" w:eastAsia="zh-CN"/>
              </w:rPr>
            </w:pPr>
            <w:r>
              <w:rPr>
                <w:rFonts w:hint="eastAsia"/>
                <w:vertAlign w:val="baseline"/>
                <w:lang w:val="en-US" w:eastAsia="zh-CN"/>
              </w:rPr>
              <w:t>2022年2-4月</w:t>
            </w:r>
          </w:p>
        </w:tc>
        <w:tc>
          <w:tcPr>
            <w:tcW w:w="4261" w:type="dxa"/>
          </w:tcPr>
          <w:p>
            <w:pPr>
              <w:numPr>
                <w:ilvl w:val="0"/>
                <w:numId w:val="0"/>
              </w:numPr>
              <w:jc w:val="left"/>
              <w:rPr>
                <w:rFonts w:hint="default"/>
                <w:vertAlign w:val="baseline"/>
                <w:lang w:val="en-US" w:eastAsia="zh-CN"/>
              </w:rPr>
            </w:pPr>
            <w:r>
              <w:rPr>
                <w:rFonts w:hint="eastAsia"/>
                <w:vertAlign w:val="baseline"/>
                <w:lang w:val="en-US" w:eastAsia="zh-CN"/>
              </w:rPr>
              <w:t>开发自动步兵协同功能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center"/>
          </w:tcPr>
          <w:p>
            <w:pPr>
              <w:numPr>
                <w:ilvl w:val="0"/>
                <w:numId w:val="0"/>
              </w:numPr>
              <w:jc w:val="left"/>
              <w:rPr>
                <w:rFonts w:hint="default"/>
                <w:vertAlign w:val="baseline"/>
                <w:lang w:val="en-US" w:eastAsia="zh-CN"/>
              </w:rPr>
            </w:pPr>
            <w:r>
              <w:rPr>
                <w:rFonts w:hint="eastAsia"/>
                <w:vertAlign w:val="baseline"/>
                <w:lang w:val="en-US" w:eastAsia="zh-CN"/>
              </w:rPr>
              <w:t>暂定</w:t>
            </w:r>
          </w:p>
        </w:tc>
        <w:tc>
          <w:tcPr>
            <w:tcW w:w="4261" w:type="dxa"/>
          </w:tcPr>
          <w:p>
            <w:pPr>
              <w:numPr>
                <w:ilvl w:val="0"/>
                <w:numId w:val="0"/>
              </w:numPr>
              <w:jc w:val="left"/>
              <w:rPr>
                <w:rFonts w:hint="default"/>
                <w:vertAlign w:val="baseline"/>
                <w:lang w:val="en-US" w:eastAsia="zh-CN"/>
              </w:rPr>
            </w:pPr>
            <w:r>
              <w:rPr>
                <w:rFonts w:hint="eastAsia"/>
                <w:vertAlign w:val="baseline"/>
                <w:lang w:val="en-US" w:eastAsia="zh-CN"/>
              </w:rPr>
              <w:t>暂定</w:t>
            </w:r>
          </w:p>
        </w:tc>
      </w:tr>
    </w:tbl>
    <w:p>
      <w:pPr>
        <w:numPr>
          <w:numId w:val="0"/>
        </w:numPr>
        <w:ind w:left="420" w:leftChars="0" w:firstLine="420"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4ACDD"/>
    <w:multiLevelType w:val="singleLevel"/>
    <w:tmpl w:val="AFC4ACDD"/>
    <w:lvl w:ilvl="0" w:tentative="0">
      <w:start w:val="1"/>
      <w:numFmt w:val="decimal"/>
      <w:suff w:val="space"/>
      <w:lvlText w:val="%1."/>
      <w:lvlJc w:val="left"/>
    </w:lvl>
  </w:abstractNum>
  <w:abstractNum w:abstractNumId="1">
    <w:nsid w:val="C1E07184"/>
    <w:multiLevelType w:val="multilevel"/>
    <w:tmpl w:val="C1E07184"/>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F7CF3951"/>
    <w:multiLevelType w:val="multilevel"/>
    <w:tmpl w:val="F7CF395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4B8876F5"/>
    <w:multiLevelType w:val="multilevel"/>
    <w:tmpl w:val="4B8876F5"/>
    <w:lvl w:ilvl="0" w:tentative="0">
      <w:start w:val="1"/>
      <w:numFmt w:val="decimal"/>
      <w:suff w:val="space"/>
      <w:lvlText w:val="%1."/>
      <w:lvlJc w:val="left"/>
      <w:pPr>
        <w:ind w:left="0" w:firstLine="0"/>
      </w:pPr>
      <w:rPr>
        <w:rFonts w:hint="default" w:ascii="Arial" w:hAnsi="Arial" w:eastAsia="宋体"/>
        <w:b/>
        <w:i w:val="0"/>
        <w:color w:val="333399"/>
        <w:sz w:val="44"/>
      </w:rPr>
    </w:lvl>
    <w:lvl w:ilvl="1" w:tentative="0">
      <w:start w:val="1"/>
      <w:numFmt w:val="decimal"/>
      <w:suff w:val="space"/>
      <w:lvlText w:val="%1.%2"/>
      <w:lvlJc w:val="left"/>
      <w:pPr>
        <w:ind w:left="0" w:firstLine="0"/>
      </w:pPr>
      <w:rPr>
        <w:rFonts w:hint="default" w:ascii="Arial" w:hAnsi="Arial" w:eastAsia="宋体"/>
        <w:b/>
        <w:i w:val="0"/>
        <w:color w:val="333399"/>
        <w:sz w:val="36"/>
      </w:rPr>
    </w:lvl>
    <w:lvl w:ilvl="2" w:tentative="0">
      <w:start w:val="1"/>
      <w:numFmt w:val="decimal"/>
      <w:suff w:val="space"/>
      <w:lvlText w:val="%1.%2.%3"/>
      <w:lvlJc w:val="left"/>
      <w:pPr>
        <w:ind w:left="0" w:firstLine="0"/>
      </w:pPr>
      <w:rPr>
        <w:rFonts w:hint="default" w:ascii="Arial" w:hAnsi="Arial" w:eastAsia="宋体"/>
        <w:b/>
        <w:i w:val="0"/>
        <w:color w:val="333399"/>
        <w:sz w:val="32"/>
      </w:rPr>
    </w:lvl>
    <w:lvl w:ilvl="3" w:tentative="0">
      <w:start w:val="1"/>
      <w:numFmt w:val="decimal"/>
      <w:suff w:val="space"/>
      <w:lvlText w:val="%1.%2.%3.%4"/>
      <w:lvlJc w:val="left"/>
      <w:pPr>
        <w:ind w:left="0" w:firstLine="0"/>
      </w:pPr>
      <w:rPr>
        <w:rFonts w:hint="eastAsia"/>
      </w:rPr>
    </w:lvl>
    <w:lvl w:ilvl="4" w:tentative="0">
      <w:start w:val="1"/>
      <w:numFmt w:val="none"/>
      <w:suff w:val="nothing"/>
      <w:lvlText w:val=""/>
      <w:lvlJc w:val="left"/>
      <w:pPr>
        <w:ind w:left="0" w:firstLine="0"/>
      </w:pPr>
      <w:rPr>
        <w:rFonts w:hint="default" w:ascii="Arial" w:hAnsi="Arial" w:eastAsia="宋体"/>
        <w:b/>
        <w:i w:val="0"/>
        <w:color w:val="auto"/>
        <w:sz w:val="21"/>
      </w:rPr>
    </w:lvl>
    <w:lvl w:ilvl="5" w:tentative="0">
      <w:start w:val="1"/>
      <w:numFmt w:val="decimal"/>
      <w:lvlText w:val="%6. "/>
      <w:lvlJc w:val="left"/>
      <w:pPr>
        <w:tabs>
          <w:tab w:val="left" w:pos="0"/>
        </w:tabs>
        <w:ind w:left="284" w:hanging="284"/>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6" w:tentative="0">
      <w:start w:val="1"/>
      <w:numFmt w:val="decimal"/>
      <w:pStyle w:val="5"/>
      <w:lvlText w:val="%7、"/>
      <w:lvlJc w:val="left"/>
      <w:pPr>
        <w:ind w:left="400" w:firstLine="60"/>
      </w:pPr>
      <w:rPr>
        <w:rFonts w:hint="default"/>
        <w:b w:val="0"/>
        <w:bCs w:val="0"/>
        <w:i w:val="0"/>
        <w:iCs w:val="0"/>
        <w:caps w:val="0"/>
        <w:smallCaps w:val="0"/>
        <w:strike w:val="0"/>
        <w:dstrike w:val="0"/>
        <w:vanish w:val="0"/>
        <w:color w:val="000000"/>
        <w:spacing w:val="0"/>
        <w:kern w:val="0"/>
        <w:position w:val="0"/>
        <w:u w:val="none"/>
        <w:vertAlign w:val="baseline"/>
      </w:rPr>
    </w:lvl>
    <w:lvl w:ilvl="7" w:tentative="0">
      <w:start w:val="1"/>
      <w:numFmt w:val="lowerLetter"/>
      <w:lvlText w:val="%8."/>
      <w:lvlJc w:val="left"/>
      <w:pPr>
        <w:tabs>
          <w:tab w:val="left" w:pos="567"/>
        </w:tabs>
        <w:ind w:left="284" w:firstLine="283"/>
      </w:pPr>
      <w:rPr>
        <w:rFonts w:hint="default" w:ascii="Arial" w:hAnsi="Arial" w:eastAsia="宋体"/>
        <w:b w:val="0"/>
        <w:i w:val="0"/>
      </w:rPr>
    </w:lvl>
    <w:lvl w:ilvl="8" w:tentative="0">
      <w:start w:val="1"/>
      <w:numFmt w:val="lowerRoman"/>
      <w:lvlText w:val="%9."/>
      <w:lvlJc w:val="left"/>
      <w:pPr>
        <w:ind w:left="1400" w:hanging="300"/>
      </w:pPr>
      <w:rPr>
        <w:rFonts w:hint="default" w:ascii="Arial" w:hAnsi="Arial" w:eastAsia="宋体" w:cs="Times New Roman"/>
        <w:b w:val="0"/>
        <w:bCs w:val="0"/>
        <w:i w:val="0"/>
        <w:iCs w:val="0"/>
        <w:caps w:val="0"/>
        <w:smallCaps w:val="0"/>
        <w:strike w:val="0"/>
        <w:dstrike w:val="0"/>
        <w:snapToGrid w:val="0"/>
        <w:vanish w:val="0"/>
        <w:color w:val="000000"/>
        <w:spacing w:val="0"/>
        <w:w w:val="0"/>
        <w:kern w:val="0"/>
        <w:position w:val="0"/>
        <w:sz w:val="21"/>
        <w:szCs w:val="0"/>
        <w:u w:val="none"/>
        <w:vertAlign w:val="baseline"/>
      </w:rPr>
    </w:lvl>
  </w:abstractNum>
  <w:abstractNum w:abstractNumId="4">
    <w:nsid w:val="78D4BFDA"/>
    <w:multiLevelType w:val="singleLevel"/>
    <w:tmpl w:val="78D4BFDA"/>
    <w:lvl w:ilvl="0" w:tentative="0">
      <w:start w:val="1"/>
      <w:numFmt w:val="decimal"/>
      <w:lvlText w:val="%1."/>
      <w:lvlJc w:val="left"/>
      <w:pPr>
        <w:tabs>
          <w:tab w:val="left" w:pos="1260"/>
        </w:tabs>
        <w:ind w:left="1685" w:hanging="425"/>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A649D"/>
    <w:rsid w:val="04210242"/>
    <w:rsid w:val="30267F42"/>
    <w:rsid w:val="4EE56F71"/>
    <w:rsid w:val="63092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numPr>
        <w:ilvl w:val="6"/>
        <w:numId w:val="1"/>
      </w:numPr>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742</Words>
  <Characters>756</Characters>
  <Lines>0</Lines>
  <Paragraphs>0</Paragraphs>
  <TotalTime>2</TotalTime>
  <ScaleCrop>false</ScaleCrop>
  <LinksUpToDate>false</LinksUpToDate>
  <CharactersWithSpaces>2718</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2021-10-18T15:35:45Z</dcterms:created>
  <dc:creator>Administrator</dc:creator>
  <cp:lastModifiedBy>龙龙</cp:lastModifiedBy>
  <dcterms:modified xsi:type="dcterms:W3CDTF">2021-10-21T11:06:27Z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