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E17327"/>
          <w:sz w:val="48"/>
          <w:szCs w:val="48"/>
        </w:rPr>
        <w:t xml:space="preserve">KP Connect Mock</w:t>
      </w:r>
    </w:p>
    <w:p>
      <w:pPr>
        <w:spacing w:after="40"/>
      </w:pPr>
      <w:r>
        <w:rPr>
          <w:color w:val="23262B"/>
          <w:sz w:val="26"/>
          <w:szCs w:val="26"/>
        </w:rPr>
        <w:t xml:space="preserve">README &amp; Build Notes — Scaffold phase</w:t>
      </w:r>
    </w:p>
    <w:p>
      <w:pPr>
        <w:spacing w:after="200"/>
      </w:pPr>
      <w:r>
        <w:rPr>
          <w:i/>
          <w:iCs/>
          <w:color w:val="6B7280"/>
          <w:sz w:val="20"/>
          <w:szCs w:val="20"/>
        </w:rPr>
        <w:t xml:space="preserve">Written for two audiences: the business owner (plain-language summaries) and the developers who build it (technical detail). Read the orange lines for the gist; the dark lines for the specifics.</w:t>
      </w:r>
    </w:p>
    <w:p>
      <w:pPr>
        <w:pStyle w:val="Heading1"/>
      </w:pPr>
      <w:r>
        <w:t xml:space="preserve">1.  What this is, and where it stands</w:t>
      </w:r>
    </w:p>
    <w:p>
      <w:pPr>
        <w:spacing w:after="120"/>
      </w:pPr>
      <w:r>
        <w:rPr>
          <w:b/>
          <w:bCs/>
          <w:color w:val="E17327"/>
        </w:rPr>
        <w:t xml:space="preserve">In plain language:  </w:t>
      </w:r>
      <w:r>
        <w:t xml:space="preserve">This is an early, clickable skeleton of the KP Connect homepage. The page structure is real and the brand colours are correct, but photos, exact fonts/spacing, and the real numbers are still placeholders. It is built so a Drupal team can take it straight over later.</w:t>
      </w:r>
    </w:p>
    <w:p>
      <w:pPr>
        <w:spacing w:after="120"/>
      </w:pPr>
      <w:r>
        <w:rPr>
          <w:b/>
          <w:bCs/>
          <w:color w:val="23262B"/>
        </w:rPr>
        <w:t xml:space="preserve">For developers:  </w:t>
      </w:r>
      <w:r>
        <w:t xml:space="preserve">Static HTML/CSS/JS, no build step. One homepage (index.html) assembled from self-contained, named blocks. All design decisions live in css/tokens.css. Confirmed values are wired; everything design-specific is stubbed and tracked in STUBS.md. Colours and structure follow ONLY the KP Connect brand doc, transcript and high-fidelity PDF — nothing is carried over from any other project.</w:t>
      </w:r>
    </w:p>
    <w:p>
      <w:pPr>
        <w:pStyle w:val="Heading1"/>
      </w:pPr>
      <w:r>
        <w:t xml:space="preserve">2.  What's in the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E17327" w:val="clear"/>
            <w:tcMar>
              <w:top w:type="dxa" w:w="60"/>
              <w:left w:type="dxa" w:w="110"/>
              <w:bottom w:type="dxa" w:w="60"/>
              <w:right w:type="dxa" w:w="110"/>
            </w:tcMar>
          </w:tcPr>
          <w:p>
            <w:pPr>
              <w:spacing w:after="0"/>
            </w:pPr>
            <w:r>
              <w:rPr>
                <w:b/>
                <w:bCs/>
                <w:color w:val="FFFFFF"/>
                <w:sz w:val="20"/>
                <w:szCs w:val="20"/>
              </w:rPr>
              <w:t xml:space="preserve">File / folder</w:t>
            </w:r>
          </w:p>
        </w:tc>
        <w:tc>
          <w:tcPr>
            <w:tcW w:type="dxa" w:w="6760"/>
            <w:tcBorders>
              <w:top w:val="single" w:color="CCCCCC" w:sz="1"/>
              <w:left w:val="single" w:color="CCCCCC" w:sz="1"/>
              <w:bottom w:val="single" w:color="CCCCCC" w:sz="1"/>
              <w:right w:val="single" w:color="CCCCCC" w:sz="1"/>
            </w:tcBorders>
            <w:shd w:fill="E17327" w:val="clear"/>
            <w:tcMar>
              <w:top w:type="dxa" w:w="60"/>
              <w:left w:type="dxa" w:w="110"/>
              <w:bottom w:type="dxa" w:w="60"/>
              <w:right w:type="dxa" w:w="110"/>
            </w:tcMar>
          </w:tcPr>
          <w:p>
            <w:pPr>
              <w:spacing w:after="0"/>
            </w:pPr>
            <w:r>
              <w:rPr>
                <w:b/>
                <w:bCs/>
                <w:color w:val="FFFFFF"/>
                <w:sz w:val="20"/>
                <w:szCs w:val="20"/>
              </w:rPr>
              <w:t xml:space="preserve">What it is</w:t>
            </w:r>
          </w:p>
        </w:tc>
      </w:tr>
      <w:tr>
        <w:trPr>
          <w:tblHeader w:val="false"/>
        </w:trPr>
        <w:tc>
          <w:tcPr>
            <w:tcW w:type="dxa" w:w="26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index.html</w:t>
            </w:r>
          </w:p>
        </w:tc>
        <w:tc>
          <w:tcPr>
            <w:tcW w:type="dxa" w:w="676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The homepage — every section marked &lt;!-- BLOCK --&gt; = one Drupal block/template.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css/tokens.css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THE one place to change the look. Colours, fonts, spacing, radius — all variables.</w:t>
            </w:r>
          </w:p>
        </w:tc>
      </w:tr>
      <w:tr>
        <w:trPr>
          <w:tblHeader w:val="false"/>
        </w:trPr>
        <w:tc>
          <w:tcPr>
            <w:tcW w:type="dxa" w:w="26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css/base.css</w:t>
            </w:r>
          </w:p>
        </w:tc>
        <w:tc>
          <w:tcPr>
            <w:tcW w:type="dxa" w:w="676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Resets + element typography + buttons + accessibility helpers.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css/blocks.css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One styling section per block + the responsive rules (4 / 2 / 1 columns).</w:t>
            </w:r>
          </w:p>
        </w:tc>
      </w:tr>
      <w:tr>
        <w:trPr>
          <w:tblHeader w:val="false"/>
        </w:trPr>
        <w:tc>
          <w:tcPr>
            <w:tcW w:type="dxa" w:w="26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js/configurator.js</w:t>
            </w:r>
          </w:p>
        </w:tc>
        <w:tc>
          <w:tcPr>
            <w:tcW w:type="dxa" w:w="676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The review-only toggle bar, mobile menu, and animated stat counters.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STUBS.md</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Running list of everything still stubbed or pending Figma. Update as items land.</w:t>
            </w:r>
          </w:p>
        </w:tc>
      </w:tr>
      <w:tr>
        <w:trPr>
          <w:tblHeader w:val="false"/>
        </w:trPr>
        <w:tc>
          <w:tcPr>
            <w:tcW w:type="dxa" w:w="26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netlify.toml / .gitignore</w:t>
            </w:r>
          </w:p>
        </w:tc>
        <w:tc>
          <w:tcPr>
            <w:tcW w:type="dxa" w:w="676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Deploy config for the hosting steps below.</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README (this file)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How to run, design tokens, block inventory, swap-list, approaches, open questions.</w:t>
            </w:r>
          </w:p>
        </w:tc>
      </w:tr>
    </w:tbl>
    <w:p>
      <w:pPr>
        <w:pStyle w:val="Heading1"/>
      </w:pPr>
      <w:r>
        <w:t xml:space="preserve">3.  How to preview and publish</w:t>
      </w:r>
    </w:p>
    <w:p>
      <w:pPr>
        <w:spacing w:after="120"/>
      </w:pPr>
      <w:r>
        <w:rPr>
          <w:b/>
          <w:bCs/>
          <w:color w:val="E17327"/>
        </w:rPr>
        <w:t xml:space="preserve">In plain language:  </w:t>
      </w:r>
      <w:r>
        <w:t xml:space="preserve">To look at it now: double-click index.html — it opens in any browser. To share a clickable link, drag the folder onto a free host and you get a URL in about 30 seconds.</w:t>
      </w:r>
    </w:p>
    <w:p>
      <w:pPr>
        <w:spacing w:after="120"/>
      </w:pPr>
      <w:r>
        <w:rPr>
          <w:b/>
          <w:bCs/>
          <w:color w:val="23262B"/>
        </w:rPr>
        <w:t xml:space="preserve">For developers:  </w:t>
      </w:r>
      <w:r>
        <w:t xml:space="preserve">Three proven methods, easiest first (all free at this scale):</w:t>
      </w:r>
    </w:p>
    <w:p>
      <w:pPr>
        <w:spacing w:after="40"/>
      </w:pPr>
      <w:r>
        <w:rPr>
          <w:b/>
          <w:bCs/>
        </w:rPr>
        <w:t xml:space="preserve">Method A — Drag-and-drop (fastest, no account).</w:t>
      </w:r>
    </w:p>
    <w:p>
      <w:pPr>
        <w:pStyle w:val="ListParagraph"/>
        <w:numPr>
          <w:ilvl w:val="0"/>
          <w:numId w:val="2"/>
        </w:numPr>
        <w:spacing w:after="60"/>
      </w:pPr>
      <w:r>
        <w:t xml:space="preserve">Go to app.netlify.com/drop and drag the kp-connect-mock folder onto the page. A live URL appears in ~30s. To update, drag again. Best for the first stakeholder look.</w:t>
      </w:r>
    </w:p>
    <w:p>
      <w:pPr>
        <w:spacing w:after="40"/>
      </w:pPr>
      <w:r>
        <w:rPr>
          <w:b/>
          <w:bCs/>
        </w:rPr>
        <w:t xml:space="preserve">Method B — Git-connected (best for iteration).</w:t>
      </w:r>
    </w:p>
    <w:p>
      <w:pPr>
        <w:pStyle w:val="ListParagraph"/>
        <w:numPr>
          <w:ilvl w:val="0"/>
          <w:numId w:val="2"/>
        </w:numPr>
        <w:spacing w:after="60"/>
      </w:pPr>
      <w:r>
        <w:t xml:space="preserve">Push the folder to a GitHub repo and connect it to Netlify once (publish dir = the folder root; no build command — netlify.toml already sets this). Every saved change then republishes automatically. The natural starting point when the Drupal team takes over.</w:t>
      </w:r>
    </w:p>
    <w:p>
      <w:pPr>
        <w:spacing w:after="40"/>
      </w:pPr>
      <w:r>
        <w:rPr>
          <w:b/>
          <w:bCs/>
        </w:rPr>
        <w:t xml:space="preserve">Method C — Local preview (for the builder).</w:t>
      </w:r>
    </w:p>
    <w:p>
      <w:pPr>
        <w:pStyle w:val="ListParagraph"/>
        <w:numPr>
          <w:ilvl w:val="0"/>
          <w:numId w:val="2"/>
        </w:numPr>
        <w:spacing w:after="60"/>
      </w:pPr>
      <w:r>
        <w:t xml:space="preserve">Open index.html directly, or run a tiny local server for full fidelity:</w:t>
      </w:r>
    </w:p>
    <w:p>
      <w:pPr>
        <w:spacing w:after="120"/>
      </w:pPr>
      <w:r>
        <w:rPr>
          <w:rFonts w:ascii="Consolas" w:cs="Consolas" w:eastAsia="Consolas" w:hAnsi="Consolas"/>
          <w:sz w:val="20"/>
          <w:szCs w:val="20"/>
        </w:rPr>
        <w:t xml:space="preserve">    python -m http.server 8000    # then visit http://localhost:8000</w:t>
      </w:r>
    </w:p>
    <w:p>
      <w:pPr>
        <w:spacing w:after="120"/>
      </w:pPr>
      <w:r>
        <w:t xml:space="preserve">Recommendation: Method A for the first review, then Method B once changes are frequent.</w:t>
      </w:r>
    </w:p>
    <w:p>
      <w:pPr>
        <w:pStyle w:val="Heading1"/>
      </w:pPr>
      <w:r>
        <w:t xml:space="preserve">4.  Design tokens (confirmed vs. stubbed)</w:t>
      </w:r>
    </w:p>
    <w:p>
      <w:pPr>
        <w:spacing w:after="120"/>
      </w:pPr>
      <w:r>
        <w:rPr>
          <w:b/>
          <w:bCs/>
          <w:color w:val="E17327"/>
        </w:rPr>
        <w:t xml:space="preserve">In plain language:  </w:t>
      </w:r>
      <w:r>
        <w:t xml:space="preserve">These are the master settings for the look. The colours are confirmed from your brand doc; the fonts and spacing are sensible placeholders until we read the exact values from Figma.</w:t>
      </w:r>
    </w:p>
    <w:p>
      <w:pPr>
        <w:spacing w:after="120"/>
      </w:pPr>
      <w:r>
        <w:rPr>
          <w:b/>
          <w:bCs/>
          <w:color w:val="23262B"/>
        </w:rPr>
        <w:t xml:space="preserve">For developers:  </w:t>
      </w:r>
      <w:r>
        <w:t xml:space="preserve">All defined once in css/tokens.css as CSS custom properties — these map 1:1 to a Drupal theme's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E17327" w:val="clear"/>
            <w:tcMar>
              <w:top w:type="dxa" w:w="60"/>
              <w:left w:type="dxa" w:w="110"/>
              <w:bottom w:type="dxa" w:w="60"/>
              <w:right w:type="dxa" w:w="110"/>
            </w:tcMar>
          </w:tcPr>
          <w:p>
            <w:pPr>
              <w:spacing w:after="0"/>
            </w:pPr>
            <w:r>
              <w:rPr>
                <w:b/>
                <w:bCs/>
                <w:color w:val="FFFFFF"/>
                <w:sz w:val="20"/>
                <w:szCs w:val="20"/>
              </w:rPr>
              <w:t xml:space="preserve">Token</w:t>
            </w:r>
          </w:p>
        </w:tc>
        <w:tc>
          <w:tcPr>
            <w:tcW w:type="dxa" w:w="2400"/>
            <w:tcBorders>
              <w:top w:val="single" w:color="CCCCCC" w:sz="1"/>
              <w:left w:val="single" w:color="CCCCCC" w:sz="1"/>
              <w:bottom w:val="single" w:color="CCCCCC" w:sz="1"/>
              <w:right w:val="single" w:color="CCCCCC" w:sz="1"/>
            </w:tcBorders>
            <w:shd w:fill="E17327" w:val="clear"/>
            <w:tcMar>
              <w:top w:type="dxa" w:w="60"/>
              <w:left w:type="dxa" w:w="110"/>
              <w:bottom w:type="dxa" w:w="60"/>
              <w:right w:type="dxa" w:w="110"/>
            </w:tcMar>
          </w:tcPr>
          <w:p>
            <w:pPr>
              <w:spacing w:after="0"/>
            </w:pPr>
            <w:r>
              <w:rPr>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E17327" w:val="clear"/>
            <w:tcMar>
              <w:top w:type="dxa" w:w="60"/>
              <w:left w:type="dxa" w:w="110"/>
              <w:bottom w:type="dxa" w:w="60"/>
              <w:right w:type="dxa" w:w="110"/>
            </w:tcMar>
          </w:tcPr>
          <w:p>
            <w:pPr>
              <w:spacing w:after="0"/>
            </w:pPr>
            <w:r>
              <w:rPr>
                <w:b/>
                <w:bCs/>
                <w:color w:val="FFFFFF"/>
                <w:sz w:val="20"/>
                <w:szCs w:val="20"/>
              </w:rPr>
              <w:t xml:space="preserve">Status / note</w:t>
            </w:r>
          </w:p>
        </w:tc>
      </w:tr>
      <w:tr>
        <w:trPr>
          <w:tblHeader w:val="false"/>
        </w:trPr>
        <w:tc>
          <w:tcPr>
            <w:tcW w:type="dxa" w:w="26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--kp-orange</w:t>
            </w:r>
          </w:p>
        </w:tc>
        <w:tc>
          <w:tcPr>
            <w:tcW w:type="dxa" w:w="24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#E17327</w:t>
            </w:r>
          </w:p>
        </w:tc>
        <w:tc>
          <w:tcPr>
            <w:tcW w:type="dxa" w:w="436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CONFIRMED — primary brand colour.</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--kp-red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#C02126</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CONFIRMED — secondary brand colour.</w:t>
            </w:r>
          </w:p>
        </w:tc>
      </w:tr>
      <w:tr>
        <w:trPr>
          <w:tblHeader w:val="false"/>
        </w:trPr>
        <w:tc>
          <w:tcPr>
            <w:tcW w:type="dxa" w:w="26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--kp-gradient</w:t>
            </w:r>
          </w:p>
        </w:tc>
        <w:tc>
          <w:tcPr>
            <w:tcW w:type="dxa" w:w="24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orange to red, 90°</w:t>
            </w:r>
          </w:p>
        </w:tc>
        <w:tc>
          <w:tcPr>
            <w:tcW w:type="dxa" w:w="436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CONFIRMED — statement band + CTA band.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--heading-color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orange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CONFIRMED — section headings render orange in the PDF.</w:t>
            </w:r>
          </w:p>
        </w:tc>
      </w:tr>
      <w:tr>
        <w:trPr>
          <w:tblHeader w:val="false"/>
        </w:trPr>
        <w:tc>
          <w:tcPr>
            <w:tcW w:type="dxa" w:w="26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--font-head / --font-body</w:t>
            </w:r>
          </w:p>
        </w:tc>
        <w:tc>
          <w:tcPr>
            <w:tcW w:type="dxa" w:w="24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Poppins / Inter</w:t>
            </w:r>
          </w:p>
        </w:tc>
        <w:tc>
          <w:tcPr>
            <w:tcW w:type="dxa" w:w="436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STUB — guessed; read exact families + weights from Figma.</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--fs-h1 to --fs-small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44 / 30 / 20 / 16 / 13 px</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STUB — placeholder type scale; replace with Figma sizes.</w:t>
            </w:r>
          </w:p>
        </w:tc>
      </w:tr>
      <w:tr>
        <w:trPr>
          <w:tblHeader w:val="false"/>
        </w:trPr>
        <w:tc>
          <w:tcPr>
            <w:tcW w:type="dxa" w:w="26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--ink / --muted / --line / --surface</w:t>
            </w:r>
          </w:p>
        </w:tc>
        <w:tc>
          <w:tcPr>
            <w:tcW w:type="dxa" w:w="24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neutrals</w:t>
            </w:r>
          </w:p>
        </w:tc>
        <w:tc>
          <w:tcPr>
            <w:tcW w:type="dxa" w:w="436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STUB — approximated from the PDF; confirm exact hex.</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--section-y / --pad / --gap / --radius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spacing + radius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STUB — placeholder; confirm from Figma inspect.</w:t>
            </w:r>
          </w:p>
        </w:tc>
      </w:tr>
      <w:tr>
        <w:trPr>
          <w:tblHeader w:val="false"/>
        </w:trPr>
        <w:tc>
          <w:tcPr>
            <w:tcW w:type="dxa" w:w="26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breakpoints</w:t>
            </w:r>
          </w:p>
        </w:tc>
        <w:tc>
          <w:tcPr>
            <w:tcW w:type="dxa" w:w="24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1440 / 768 / 375</w:t>
            </w:r>
          </w:p>
        </w:tc>
        <w:tc>
          <w:tcPr>
            <w:tcW w:type="dxa" w:w="436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CONFIRMED — 4-col / 2-col / 1-col + hamburger (brand doc).</w:t>
            </w:r>
          </w:p>
        </w:tc>
      </w:tr>
    </w:tbl>
    <w:p>
      <w:pPr>
        <w:pStyle w:val="Heading1"/>
      </w:pPr>
      <w:r>
        <w:t xml:space="preserve">5.  Block inventory</w:t>
      </w:r>
    </w:p>
    <w:p>
      <w:pPr>
        <w:spacing w:after="120"/>
      </w:pPr>
      <w:r>
        <w:rPr>
          <w:b/>
          <w:bCs/>
          <w:color w:val="E17327"/>
        </w:rPr>
        <w:t xml:space="preserve">In plain language:  </w:t>
      </w:r>
      <w:r>
        <w:t xml:space="preserve">The page is a stack of self-contained sections. Each one is a tidy unit a Drupal developer can lift across directly.</w:t>
      </w:r>
    </w:p>
    <w:p>
      <w:pPr>
        <w:spacing w:after="120"/>
      </w:pPr>
      <w:r>
        <w:rPr>
          <w:b/>
          <w:bCs/>
          <w:color w:val="23262B"/>
        </w:rPr>
        <w:t xml:space="preserve">For developers:  </w:t>
      </w:r>
      <w:r>
        <w:t xml:space="preserve">Every block carries a clear, what-it-is class name and a &lt;!-- BLOCK --&gt; comment in index.html. Chrome (header/footer) becomes a Drupal region; the rest become blocks/templates.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CCCCCC" w:sz="1"/>
              <w:left w:val="single" w:color="CCCCCC" w:sz="1"/>
              <w:bottom w:val="single" w:color="CCCCCC" w:sz="1"/>
              <w:right w:val="single" w:color="CCCCCC" w:sz="1"/>
            </w:tcBorders>
            <w:shd w:fill="E17327" w:val="clear"/>
            <w:tcMar>
              <w:top w:type="dxa" w:w="60"/>
              <w:left w:type="dxa" w:w="110"/>
              <w:bottom w:type="dxa" w:w="60"/>
              <w:right w:type="dxa" w:w="110"/>
            </w:tcMar>
          </w:tcPr>
          <w:p>
            <w:pPr>
              <w:spacing w:after="0"/>
            </w:pPr>
            <w:r>
              <w:rPr>
                <w:b/>
                <w:bCs/>
                <w:color w:val="FFFFFF"/>
                <w:sz w:val="20"/>
                <w:szCs w:val="20"/>
              </w:rPr>
              <w:t xml:space="preserve">Block (class)</w:t>
            </w:r>
          </w:p>
        </w:tc>
        <w:tc>
          <w:tcPr>
            <w:tcW w:type="dxa" w:w="3000"/>
            <w:tcBorders>
              <w:top w:val="single" w:color="CCCCCC" w:sz="1"/>
              <w:left w:val="single" w:color="CCCCCC" w:sz="1"/>
              <w:bottom w:val="single" w:color="CCCCCC" w:sz="1"/>
              <w:right w:val="single" w:color="CCCCCC" w:sz="1"/>
            </w:tcBorders>
            <w:shd w:fill="E17327" w:val="clear"/>
            <w:tcMar>
              <w:top w:type="dxa" w:w="60"/>
              <w:left w:type="dxa" w:w="110"/>
              <w:bottom w:type="dxa" w:w="60"/>
              <w:right w:type="dxa" w:w="110"/>
            </w:tcMar>
          </w:tcPr>
          <w:p>
            <w:pPr>
              <w:spacing w:after="0"/>
            </w:pPr>
            <w:r>
              <w:rPr>
                <w:b/>
                <w:bCs/>
                <w:color w:val="FFFFFF"/>
                <w:sz w:val="20"/>
                <w:szCs w:val="20"/>
              </w:rPr>
              <w:t xml:space="preserve">Type</w:t>
            </w:r>
          </w:p>
        </w:tc>
        <w:tc>
          <w:tcPr>
            <w:tcW w:type="dxa" w:w="3660"/>
            <w:tcBorders>
              <w:top w:val="single" w:color="CCCCCC" w:sz="1"/>
              <w:left w:val="single" w:color="CCCCCC" w:sz="1"/>
              <w:bottom w:val="single" w:color="CCCCCC" w:sz="1"/>
              <w:right w:val="single" w:color="CCCCCC" w:sz="1"/>
            </w:tcBorders>
            <w:shd w:fill="E17327" w:val="clear"/>
            <w:tcMar>
              <w:top w:type="dxa" w:w="60"/>
              <w:left w:type="dxa" w:w="110"/>
              <w:bottom w:type="dxa" w:w="60"/>
              <w:right w:type="dxa" w:w="110"/>
            </w:tcMar>
          </w:tcPr>
          <w:p>
            <w:pPr>
              <w:spacing w:after="0"/>
            </w:pPr>
            <w:r>
              <w:rPr>
                <w:b/>
                <w:bCs/>
                <w:color w:val="FFFFFF"/>
                <w:sz w:val="20"/>
                <w:szCs w:val="20"/>
              </w:rPr>
              <w:t xml:space="preserve">Notes</w:t>
            </w:r>
          </w:p>
        </w:tc>
      </w:tr>
      <w:tr>
        <w:trPr>
          <w:tblHeader w:val="false"/>
        </w:trPr>
        <w:tc>
          <w:tcPr>
            <w:tcW w:type="dxa" w:w="27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site-header</w:t>
            </w:r>
          </w:p>
        </w:tc>
        <w:tc>
          <w:tcPr>
            <w:tcW w:type="dxa" w:w="30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Chrome / region</w:t>
            </w:r>
          </w:p>
        </w:tc>
        <w:tc>
          <w:tcPr>
            <w:tcW w:type="dxa" w:w="366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Logo left, nav right, sticky on scroll. CONFIRMED.</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hero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Block</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Media zone + 'Join KP Network' CTA. Image STUB.</w:t>
            </w:r>
          </w:p>
        </w:tc>
      </w:tr>
      <w:tr>
        <w:trPr>
          <w:tblHeader w:val="false"/>
        </w:trPr>
        <w:tc>
          <w:tcPr>
            <w:tcW w:type="dxa" w:w="27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statement</w:t>
            </w:r>
          </w:p>
        </w:tc>
        <w:tc>
          <w:tcPr>
            <w:tcW w:type="dxa" w:w="30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Block</w:t>
            </w:r>
          </w:p>
        </w:tc>
        <w:tc>
          <w:tcPr>
            <w:tcW w:type="dxa" w:w="366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Orange-to-red gradient band, white headline. Real copy. CONFIRMED.</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about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Block</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Heading + body + 2 buttons + image with stat-counter card.</w:t>
            </w:r>
          </w:p>
        </w:tc>
      </w:tr>
      <w:tr>
        <w:trPr>
          <w:tblHeader w:val="false"/>
        </w:trPr>
        <w:tc>
          <w:tcPr>
            <w:tcW w:type="dxa" w:w="27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audience</w:t>
            </w:r>
          </w:p>
        </w:tc>
        <w:tc>
          <w:tcPr>
            <w:tcW w:type="dxa" w:w="30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Block (1 card x2)</w:t>
            </w:r>
          </w:p>
        </w:tc>
        <w:tc>
          <w:tcPr>
            <w:tcW w:type="dxa" w:w="366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'I am here as an...' Individual / Organization.</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services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Block (1 card x4)</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KP Academy / University / Care / Innovative Workforce.</w:t>
            </w:r>
          </w:p>
        </w:tc>
      </w:tr>
      <w:tr>
        <w:trPr>
          <w:tblHeader w:val="false"/>
        </w:trPr>
        <w:tc>
          <w:tcPr>
            <w:tcW w:type="dxa" w:w="27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ecosystem</w:t>
            </w:r>
          </w:p>
        </w:tc>
        <w:tc>
          <w:tcPr>
            <w:tcW w:type="dxa" w:w="30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Block</w:t>
            </w:r>
          </w:p>
        </w:tc>
        <w:tc>
          <w:tcPr>
            <w:tcW w:type="dxa" w:w="366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'Different sectors. One shared mission.' Diagram STUB.</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supply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Block</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Talent Supply Chain value proposition.</w:t>
            </w:r>
          </w:p>
        </w:tc>
      </w:tr>
      <w:tr>
        <w:trPr>
          <w:tblHeader w:val="false"/>
        </w:trPr>
        <w:tc>
          <w:tcPr>
            <w:tcW w:type="dxa" w:w="27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social-proof</w:t>
            </w:r>
          </w:p>
        </w:tc>
        <w:tc>
          <w:tcPr>
            <w:tcW w:type="dxa" w:w="30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Block (view-driven)</w:t>
            </w:r>
          </w:p>
        </w:tc>
        <w:tc>
          <w:tcPr>
            <w:tcW w:type="dxa" w:w="366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Metrics + testimonials. Drupal Views per brand doc.</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cta-band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Block</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Closing 'Join KP Network' band.</w:t>
            </w:r>
          </w:p>
        </w:tc>
      </w:tr>
      <w:tr>
        <w:trPr>
          <w:tblHeader w:val="false"/>
        </w:trPr>
        <w:tc>
          <w:tcPr>
            <w:tcW w:type="dxa" w:w="27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site-footer</w:t>
            </w:r>
          </w:p>
        </w:tc>
        <w:tc>
          <w:tcPr>
            <w:tcW w:type="dxa" w:w="30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Chrome / region</w:t>
            </w:r>
          </w:p>
        </w:tc>
        <w:tc>
          <w:tcPr>
            <w:tcW w:type="dxa" w:w="366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4 columns + newsletter. Real address/phone/email.</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configurator / scaffold-banner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Review aid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DELETE for production — not part of the site.</w:t>
            </w:r>
          </w:p>
        </w:tc>
      </w:tr>
    </w:tbl>
    <w:p>
      <w:pPr>
        <w:pStyle w:val="Heading1"/>
      </w:pPr>
      <w:r>
        <w:t xml:space="preserve">6.  Swap-list — what's still stubbed</w:t>
      </w:r>
    </w:p>
    <w:p>
      <w:pPr>
        <w:spacing w:after="120"/>
      </w:pPr>
      <w:r>
        <w:rPr>
          <w:b/>
          <w:bCs/>
          <w:color w:val="E17327"/>
        </w:rPr>
        <w:t xml:space="preserve">In plain language:  </w:t>
      </w:r>
      <w:r>
        <w:t xml:space="preserve">Nothing here is broken — these are the spots waiting on final design assets and content. The full living checklist is STUBS.md in the folder.</w:t>
      </w:r>
    </w:p>
    <w:p>
      <w:pPr>
        <w:spacing w:after="120"/>
      </w:pPr>
      <w:r>
        <w:rPr>
          <w:b/>
          <w:bCs/>
          <w:color w:val="23262B"/>
        </w:rPr>
        <w:t xml:space="preserve">For developers:  </w:t>
      </w:r>
      <w:r>
        <w:t xml:space="preserve">Highest-impact items to resolve, in order:</w:t>
      </w:r>
    </w:p>
    <w:p>
      <w:pPr>
        <w:pStyle w:val="ListParagraph"/>
        <w:numPr>
          <w:ilvl w:val="0"/>
          <w:numId w:val="2"/>
        </w:numPr>
        <w:spacing w:after="60"/>
      </w:pPr>
      <w:r>
        <w:t xml:space="preserve">Exact fonts, type scale, neutral hex and spacing — read from Figma inspect (replaces the STUB tokens).</w:t>
      </w:r>
    </w:p>
    <w:p>
      <w:pPr>
        <w:pStyle w:val="ListParagraph"/>
        <w:numPr>
          <w:ilvl w:val="0"/>
          <w:numId w:val="2"/>
        </w:numPr>
        <w:spacing w:after="60"/>
      </w:pPr>
      <w:r>
        <w:t xml:space="preserve">Real imagery — logo SVG, hero media, team photo, ecosystem diagram, service icons, testimonial thumbnails, partner logos.</w:t>
      </w:r>
    </w:p>
    <w:p>
      <w:pPr>
        <w:pStyle w:val="ListParagraph"/>
        <w:numPr>
          <w:ilvl w:val="0"/>
          <w:numId w:val="2"/>
        </w:numPr>
        <w:spacing w:after="60"/>
      </w:pPr>
      <w:r>
        <w:t xml:space="preserve">Real numbers for the animated counters (Years of Impact, Lives Changed, Success Rate, and the social-proof metrics).</w:t>
      </w:r>
    </w:p>
    <w:p>
      <w:pPr>
        <w:pStyle w:val="ListParagraph"/>
        <w:numPr>
          <w:ilvl w:val="0"/>
          <w:numId w:val="2"/>
        </w:numPr>
        <w:spacing w:after="60"/>
      </w:pPr>
      <w:r>
        <w:t xml:space="preserve">Final About body copy (Figma currently shows lorem).</w:t>
      </w:r>
    </w:p>
    <w:p>
      <w:pPr>
        <w:pStyle w:val="ListParagraph"/>
        <w:numPr>
          <w:ilvl w:val="0"/>
          <w:numId w:val="2"/>
        </w:numPr>
        <w:spacing w:after="60"/>
      </w:pPr>
      <w:r>
        <w:t xml:space="preserve">The remaining pages (About, Services, KP Network, Blog, Contact, plus the program/landing pages) — only Home is scaffolded so far.</w:t>
      </w:r>
    </w:p>
    <w:p>
      <w:pPr>
        <w:pStyle w:val="ListParagraph"/>
        <w:numPr>
          <w:ilvl w:val="0"/>
          <w:numId w:val="2"/>
        </w:numPr>
        <w:spacing w:after="60"/>
      </w:pPr>
      <w:r>
        <w:t xml:space="preserve">Dynamic / CRM-fed sections (testimonials, filtered lists, TMG form, ATMS data) — flagged for the Drupal team in STUBS.md.</w:t>
      </w:r>
    </w:p>
    <w:p>
      <w:pPr>
        <w:pStyle w:val="Heading1"/>
      </w:pPr>
      <w:r>
        <w:t xml:space="preserve">7.  Why this is Drupal-ready</w:t>
      </w:r>
    </w:p>
    <w:p>
      <w:pPr>
        <w:spacing w:after="120"/>
      </w:pPr>
      <w:r>
        <w:rPr>
          <w:b/>
          <w:bCs/>
          <w:color w:val="E17327"/>
        </w:rPr>
        <w:t xml:space="preserve">In plain language:  </w:t>
      </w:r>
      <w:r>
        <w:t xml:space="preserve">Drupal builds pages out of reusable blocks fed by editable content. Because this skeleton is already organised that way, a Drupal team maps each piece across instead of rebuilding from scratch.</w:t>
      </w:r>
    </w:p>
    <w:p>
      <w:pPr>
        <w:spacing w:after="120"/>
      </w:pPr>
      <w:r>
        <w:rPr>
          <w:b/>
          <w:bCs/>
          <w:color w:val="23262B"/>
        </w:rPr>
        <w:t xml:space="preserve">For developers:  </w:t>
      </w:r>
      <w:r>
        <w:t xml:space="preserve">Concretely: (a) the page is a stack of self-contained blocks; (b) chrome (header/footer) is separated from content; (c) class names say what things are, not how they look; (d) all visible text is plain editable content, not baked into styling; (e) every design value is a variable in one tokens file; (f) repeated items (cards) share one structure = one component, rendered N times.</w:t>
      </w:r>
    </w:p>
    <w:p>
      <w:pPr>
        <w:pStyle w:val="Heading1"/>
      </w:pPr>
      <w:r>
        <w:t xml:space="preserve">8.  Approaches &amp; trade-offs</w:t>
      </w:r>
    </w:p>
    <w:p>
      <w:pPr>
        <w:spacing w:after="120"/>
      </w:pPr>
      <w:r>
        <w:rPr>
          <w:b/>
          <w:bCs/>
          <w:color w:val="E17327"/>
        </w:rPr>
        <w:t xml:space="preserve">In plain language:  </w:t>
      </w:r>
      <w:r>
        <w:t xml:space="preserve">There's more than one way to build this. Short version: a plain static site now is the fastest, cheapest path to something you can click and share, and the easiest to hand to Drupal. The other options earn their keep only in specific situations.</w:t>
      </w:r>
    </w:p>
    <w:p>
      <w:pPr>
        <w:spacing w:after="120"/>
      </w:pPr>
      <w:r>
        <w:rPr>
          <w:b/>
          <w:bCs/>
          <w:color w:val="23262B"/>
        </w:rPr>
        <w:t xml:space="preserve">For developers:  </w:t>
      </w:r>
      <w:r>
        <w:t xml:space="preserve">Summary of the realistic paths and what each one would require: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E17327" w:val="clear"/>
            <w:tcMar>
              <w:top w:type="dxa" w:w="60"/>
              <w:left w:type="dxa" w:w="110"/>
              <w:bottom w:type="dxa" w:w="60"/>
              <w:right w:type="dxa" w:w="110"/>
            </w:tcMar>
          </w:tcPr>
          <w:p>
            <w:pPr>
              <w:spacing w:after="0"/>
            </w:pPr>
            <w:r>
              <w:rPr>
                <w:b/>
                <w:bCs/>
                <w:color w:val="FFFFFF"/>
                <w:sz w:val="20"/>
                <w:szCs w:val="20"/>
              </w:rPr>
              <w:t xml:space="preserve">Approach</w:t>
            </w:r>
          </w:p>
        </w:tc>
        <w:tc>
          <w:tcPr>
            <w:tcW w:type="dxa" w:w="3000"/>
            <w:tcBorders>
              <w:top w:val="single" w:color="CCCCCC" w:sz="1"/>
              <w:left w:val="single" w:color="CCCCCC" w:sz="1"/>
              <w:bottom w:val="single" w:color="CCCCCC" w:sz="1"/>
              <w:right w:val="single" w:color="CCCCCC" w:sz="1"/>
            </w:tcBorders>
            <w:shd w:fill="E17327" w:val="clear"/>
            <w:tcMar>
              <w:top w:type="dxa" w:w="60"/>
              <w:left w:type="dxa" w:w="110"/>
              <w:bottom w:type="dxa" w:w="60"/>
              <w:right w:type="dxa" w:w="110"/>
            </w:tcMar>
          </w:tcPr>
          <w:p>
            <w:pPr>
              <w:spacing w:after="0"/>
            </w:pPr>
            <w:r>
              <w:rPr>
                <w:b/>
                <w:bCs/>
                <w:color w:val="FFFFFF"/>
                <w:sz w:val="20"/>
                <w:szCs w:val="20"/>
              </w:rPr>
              <w:t xml:space="preserve">What it buys you</w:t>
            </w:r>
          </w:p>
        </w:tc>
        <w:tc>
          <w:tcPr>
            <w:tcW w:type="dxa" w:w="4160"/>
            <w:tcBorders>
              <w:top w:val="single" w:color="CCCCCC" w:sz="1"/>
              <w:left w:val="single" w:color="CCCCCC" w:sz="1"/>
              <w:bottom w:val="single" w:color="CCCCCC" w:sz="1"/>
              <w:right w:val="single" w:color="CCCCCC" w:sz="1"/>
            </w:tcBorders>
            <w:shd w:fill="E17327" w:val="clear"/>
            <w:tcMar>
              <w:top w:type="dxa" w:w="60"/>
              <w:left w:type="dxa" w:w="110"/>
              <w:bottom w:type="dxa" w:w="60"/>
              <w:right w:type="dxa" w:w="110"/>
            </w:tcMar>
          </w:tcPr>
          <w:p>
            <w:pPr>
              <w:spacing w:after="0"/>
            </w:pPr>
            <w:r>
              <w:rPr>
                <w:b/>
                <w:bCs/>
                <w:color w:val="FFFFFF"/>
                <w:sz w:val="20"/>
                <w:szCs w:val="20"/>
              </w:rPr>
              <w:t xml:space="preserve">Cost / Drupal implication</w:t>
            </w:r>
          </w:p>
        </w:tc>
      </w:tr>
      <w:tr>
        <w:trPr>
          <w:tblHeader w:val="false"/>
        </w:trPr>
        <w:tc>
          <w:tcPr>
            <w:tcW w:type="dxa" w:w="22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Static, Drupal-ready (current, recommended)</w:t>
            </w:r>
          </w:p>
        </w:tc>
        <w:tc>
          <w:tcPr>
            <w:tcW w:type="dxa" w:w="30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Fastest to a clickable, shareable mock; trivial hosting; cleanest hand-off.</w:t>
            </w:r>
          </w:p>
        </w:tc>
        <w:tc>
          <w:tcPr>
            <w:tcW w:type="dxa" w:w="416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Almost none — markup maps directly to Drupal blocks/regions. Recommended primary.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Component-based (React/Vue)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Reusable components, app-like interactivity.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23262B"/>
                <w:sz w:val="20"/>
                <w:szCs w:val="20"/>
              </w:rPr>
              <w:t xml:space="preserve">Adds a build step; Drupal's Twig templates use a different language, so the standard hand-off gets harder. Earns its keep mainly if Drupal goes headless.</w:t>
            </w:r>
          </w:p>
        </w:tc>
      </w:tr>
      <w:tr>
        <w:trPr>
          <w:tblHeader w:val="false"/>
        </w:trPr>
        <w:tc>
          <w:tcPr>
            <w:tcW w:type="dxa" w:w="22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Headless (decoupled) Drupal</w:t>
            </w:r>
          </w:p>
        </w:tc>
        <w:tc>
          <w:tcPr>
            <w:tcW w:type="dxa" w:w="300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Drupal as a content API behind a JS front end.</w:t>
            </w:r>
          </w:p>
        </w:tc>
        <w:tc>
          <w:tcPr>
            <w:tcW w:type="dxa" w:w="4160"/>
            <w:tcBorders>
              <w:top w:val="single" w:color="CCCCCC" w:sz="1"/>
              <w:left w:val="single" w:color="CCCCCC" w:sz="1"/>
              <w:bottom w:val="single" w:color="CCCCCC" w:sz="1"/>
              <w:right w:val="single" w:color="CCCCCC" w:sz="1"/>
            </w:tcBorders>
            <w:shd w:fill="F5F6F8" w:val="clear"/>
            <w:tcMar>
              <w:top w:type="dxa" w:w="60"/>
              <w:left w:type="dxa" w:w="110"/>
              <w:bottom w:type="dxa" w:w="60"/>
              <w:right w:type="dxa" w:w="110"/>
            </w:tcMar>
          </w:tcPr>
          <w:p>
            <w:pPr>
              <w:spacing w:after="0"/>
            </w:pPr>
            <w:r>
              <w:rPr>
                <w:b w:val="false"/>
                <w:bCs w:val="false"/>
                <w:color w:val="23262B"/>
                <w:sz w:val="20"/>
                <w:szCs w:val="20"/>
              </w:rPr>
              <w:t xml:space="preserve">Larger architecture decision; more infrastructure and skills. Justifiable for app-like products, overkill for a marketing site.</w:t>
            </w:r>
          </w:p>
        </w:tc>
      </w:tr>
    </w:tbl>
    <w:p>
      <w:pPr>
        <w:spacing w:after="120"/>
      </w:pPr>
      <w:r>
        <w:rPr>
          <w:i/>
          <w:iCs/>
        </w:rPr>
        <w:t xml:space="preserve">On request, I can deliver a component-based version of one block alongside this static one, each with its own short note, so the choice can be seen rather than just described.</w:t>
      </w:r>
    </w:p>
    <w:p>
      <w:pPr>
        <w:pStyle w:val="Heading1"/>
      </w:pPr>
      <w:r>
        <w:t xml:space="preserve">9.  Open questions for Boris</w:t>
      </w:r>
    </w:p>
    <w:p>
      <w:pPr>
        <w:spacing w:after="120"/>
      </w:pPr>
      <w:r>
        <w:rPr>
          <w:b/>
          <w:bCs/>
          <w:color w:val="E17327"/>
        </w:rPr>
        <w:t xml:space="preserve">In plain language:  </w:t>
      </w:r>
      <w:r>
        <w:t xml:space="preserve">A few quick decisions will sharpen the real build. None block progress on the scaffold.</w:t>
      </w:r>
    </w:p>
    <w:p>
      <w:pPr>
        <w:pStyle w:val="ListParagraph"/>
        <w:numPr>
          <w:ilvl w:val="0"/>
          <w:numId w:val="2"/>
        </w:numPr>
        <w:spacing w:after="60"/>
      </w:pPr>
      <w:r>
        <w:t xml:space="preserve">Figma fonts: confirm the exact heading/body font families and weights (or I'll read them from inspect).</w:t>
      </w:r>
    </w:p>
    <w:p>
      <w:pPr>
        <w:pStyle w:val="ListParagraph"/>
        <w:numPr>
          <w:ilvl w:val="0"/>
          <w:numId w:val="2"/>
        </w:numPr>
        <w:spacing w:after="60"/>
      </w:pPr>
      <w:r>
        <w:t xml:space="preserve">Which pages to build first after Home, and whether menus/tabs/forms should be clickable or visual-only.</w:t>
      </w:r>
    </w:p>
    <w:p>
      <w:pPr>
        <w:pStyle w:val="ListParagraph"/>
        <w:numPr>
          <w:ilvl w:val="0"/>
          <w:numId w:val="2"/>
        </w:numPr>
        <w:spacing w:after="60"/>
      </w:pPr>
      <w:r>
        <w:t xml:space="preserve">Configurator: the current toggles (accent A/B, layout, density) are placeholders for the design conversation. Which real options should they expose — and should any become a content-editor setting in Drupal, or stay review-only?</w:t>
      </w:r>
    </w:p>
    <w:p>
      <w:pPr>
        <w:pStyle w:val="ListParagraph"/>
        <w:numPr>
          <w:ilvl w:val="0"/>
          <w:numId w:val="2"/>
        </w:numPr>
        <w:spacing w:after="60"/>
      </w:pPr>
      <w:r>
        <w:t xml:space="preserve">Real stat numbers and final About copy — provide now, or keep stubbed for this pass?</w:t>
      </w:r>
    </w:p>
    <w:p>
      <w:pPr>
        <w:pStyle w:val="ListParagraph"/>
        <w:numPr>
          <w:ilvl w:val="0"/>
          <w:numId w:val="2"/>
        </w:numPr>
        <w:spacing w:after="60"/>
      </w:pPr>
      <w:r>
        <w:t xml:space="preserve">Dynamic / CRM sections (TMG form, ATMS-fed lists): confirm these stay stubbed for the mock and are documented for the Drupal team.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KP Connect Mock — README · Scaffold phase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E17327"/>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326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2026-06-12T16:38:53.132Z</dcterms:created>
  <dcterms:modified xsi:type="dcterms:W3CDTF">2026-06-12T16:38:53.133Z</dcterms:modified>
</cp:coreProperties>
</file>

<file path=docProps/custom.xml><?xml version="1.0" encoding="utf-8"?>
<Properties xmlns="http://schemas.openxmlformats.org/officeDocument/2006/custom-properties" xmlns:vt="http://schemas.openxmlformats.org/officeDocument/2006/docPropsVTypes"/>
</file>