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2.0.0 -->
  <w:background w:color="ffffff">
    <v:background id="_x0000_s1025" filled="t" fillcolor="white"/>
  </w:background>
  <w:body>
    <w:p>
      <w:pPr>
        <w:spacing w:before="0" w:after="0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highlight w:val="none"/>
        </w:rPr>
        <w:t>Р Е Ш Е Н И Е</w:t>
      </w:r>
    </w:p>
    <w:p>
      <w:pPr>
        <w:spacing w:before="0" w:after="0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highlight w:val="none"/>
        </w:rPr>
        <w:t>Именем Российской Федерации</w:t>
      </w:r>
    </w:p>
    <w:tbl>
      <w:tblPr>
        <w:tblW w:w="9072" w:type="dxa"/>
        <w:tblInd w:w="221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246"/>
        <w:gridCol w:w="4826"/>
      </w:tblGrid>
      <w:tr>
        <w:tblPrEx>
          <w:tblW w:w="9072" w:type="dxa"/>
          <w:tblInd w:w="22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43" w:type="dxa"/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top"/>
            <w:hideMark/>
          </w:tcPr>
          <w:p>
            <w:pPr>
              <w:spacing w:before="240" w:after="240" w:line="276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Style w:val="cat-Addressgrp-0rplc-0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адрес</w:t>
            </w:r>
          </w:p>
        </w:tc>
        <w:tc>
          <w:tcPr>
            <w:tcW w:w="4829" w:type="dxa"/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top"/>
            <w:hideMark/>
          </w:tcPr>
          <w:p>
            <w:pPr>
              <w:spacing w:before="240" w:after="240" w:line="276" w:lineRule="auto"/>
              <w:ind w:left="610" w:hanging="10"/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Style w:val="cat-Dategrp-2rplc-1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дата</w:t>
            </w:r>
          </w:p>
        </w:tc>
      </w:tr>
    </w:tbl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Тверской районный суд </w:t>
      </w:r>
      <w:r>
        <w:rPr>
          <w:rStyle w:val="cat-Addressgrp-1rplc-2"/>
          <w:rFonts w:ascii="Times New Roman" w:eastAsia="Times New Roman" w:hAnsi="Times New Roman" w:cs="Times New Roman"/>
          <w:sz w:val="28"/>
          <w:szCs w:val="28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в составе председательствующего судьи </w:t>
      </w:r>
      <w:r>
        <w:rPr>
          <w:rStyle w:val="cat-FIOgrp-9rplc-3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при секретаре </w:t>
      </w:r>
      <w:r>
        <w:rPr>
          <w:rStyle w:val="cat-FIOgrp-10rplc-4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рассмотрев в открытом судебном заседании гражданское дело № 2-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54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2020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по иску </w:t>
      </w:r>
      <w:r>
        <w:rPr>
          <w:rStyle w:val="cat-OrganizationNamegrp-22rplc-5"/>
          <w:rFonts w:ascii="Times New Roman" w:eastAsia="Times New Roman" w:hAnsi="Times New Roman" w:cs="Times New Roman"/>
          <w:sz w:val="28"/>
          <w:szCs w:val="28"/>
          <w:highlight w:val="none"/>
        </w:rPr>
        <w:t>наименование организации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 лице филиала – Московского банка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ПАО Сб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ербанк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к </w:t>
      </w:r>
      <w:r>
        <w:rPr>
          <w:rStyle w:val="cat-FIOgrp-11rplc-6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о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взыскании задолженности по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кредитному договору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</w:t>
      </w:r>
    </w:p>
    <w:p>
      <w:pPr>
        <w:spacing w:before="0" w:after="0"/>
        <w:ind w:firstLine="709"/>
        <w:jc w:val="both"/>
        <w:rPr>
          <w:sz w:val="28"/>
          <w:szCs w:val="28"/>
        </w:rPr>
      </w:pPr>
    </w:p>
    <w:p>
      <w:pPr>
        <w:widowControl w:val="0"/>
        <w:spacing w:before="0" w:after="0"/>
        <w:ind w:firstLine="567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highlight w:val="none"/>
        </w:rPr>
        <w:t>УСТАНОВИЛ:</w:t>
      </w:r>
    </w:p>
    <w:p>
      <w:pPr>
        <w:widowControl w:val="0"/>
        <w:spacing w:before="0" w:after="0"/>
        <w:ind w:firstLine="567"/>
        <w:jc w:val="center"/>
        <w:rPr>
          <w:sz w:val="28"/>
          <w:szCs w:val="28"/>
        </w:rPr>
      </w:pP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Style w:val="cat-OrganizationNamegrp-23rplc-7"/>
          <w:rFonts w:ascii="Times New Roman" w:eastAsia="Times New Roman" w:hAnsi="Times New Roman" w:cs="Times New Roman"/>
          <w:sz w:val="28"/>
          <w:szCs w:val="28"/>
          <w:highlight w:val="none"/>
        </w:rPr>
        <w:t>наименование организации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обратилось в суд с иском к </w:t>
      </w:r>
      <w:r>
        <w:rPr>
          <w:rStyle w:val="cat-FIOgrp-12rplc-8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как наследнику </w:t>
      </w:r>
      <w:r>
        <w:rPr>
          <w:rStyle w:val="cat-FIOgrp-13rplc-9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взыскании задолженности по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кредитно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й карте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№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4276010024418525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в размере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Style w:val="cat-Sumgrp-18rplc-10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расходов по уплате государственной пошлины в размере </w:t>
      </w:r>
      <w:r>
        <w:rPr>
          <w:rStyle w:val="cat-Sumgrp-19rplc-11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. В обоснование заявленных требований истец указал, что </w:t>
      </w:r>
      <w:r>
        <w:rPr>
          <w:rStyle w:val="cat-Dategrp-3rplc-12"/>
          <w:rFonts w:ascii="Times New Roman" w:eastAsia="Times New Roman" w:hAnsi="Times New Roman" w:cs="Times New Roman"/>
          <w:sz w:val="28"/>
          <w:szCs w:val="28"/>
          <w:highlight w:val="none"/>
        </w:rPr>
        <w:t>дата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между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АО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Сбербанк и </w:t>
      </w:r>
      <w:r>
        <w:rPr>
          <w:rStyle w:val="cat-FIOgrp-14rplc-13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заключен договор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возобновляемой кредитной линии посредством выдачи банковской карты с предоставленным по ней кредитом и обслуживанием счета по данной карте в российских рублях.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Обязательства по данному договору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Банком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были исполнены,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кредитная карта и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денежные средства были предоставлены Заемщик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у, который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не выполнил принятые на себя обязательства по указанному договору, платежи в погашение основного долга и процентов оплатил частично, в результате чего у н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его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образовалась задолженность. 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Представитель истца </w:t>
      </w:r>
      <w:r>
        <w:rPr>
          <w:rStyle w:val="cat-FIOgrp-15rplc-14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в судебное заседание явил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ась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 исковые требования поддержал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. 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Ответчик </w:t>
      </w:r>
      <w:r>
        <w:rPr>
          <w:rStyle w:val="cat-FIOgrp-12rplc-15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судебное заседание явил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сь,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исковые требования не признала. 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Выслушав стороны, исследовав письменные материалы дела, суд считает исковые требования подлежащими удовлетворению по следующим основаниям.</w:t>
      </w:r>
    </w:p>
    <w:p>
      <w:pPr>
        <w:widowControl w:val="0"/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Согласно п. 2 ст. 1 ГК РФ граждане и юридические лица приобретают и осуществляют свои гражданские права своей волей и в своем интересе. Они свободны в установлении своих прав и обязанностей на основе договора и определении любых, не противоречащих законодательству условий договора.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 соответствии со ст.ст. 309, 310 ГК РФ обязательства должны исполняться надлежащим образом в соответствии с условиями обязательства и требованиями закона, 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законом.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В силу ст. 819 ГК РФ по кредитному договору </w:t>
      </w:r>
      <w:r>
        <w:fldChar w:fldCharType="begin"/>
      </w:r>
      <w:r>
        <w:rPr>
          <w:highlight w:val="none"/>
        </w:rPr>
        <w:instrText xml:space="preserve"> HYPERLINK "http://www.consultant.ru/online/base/?req=doc;base=LAW;n=115797;dst=100009" \t "_blank"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0000EE"/>
          <w:sz w:val="28"/>
          <w:szCs w:val="28"/>
          <w:highlight w:val="none"/>
          <w:u w:val="single" w:color="0000EE"/>
        </w:rPr>
        <w:t>банк</w:t>
      </w:r>
      <w:r>
        <w:fldChar w:fldCharType="end"/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или иная </w:t>
      </w:r>
      <w:r>
        <w:fldChar w:fldCharType="begin"/>
      </w:r>
      <w:r>
        <w:rPr>
          <w:highlight w:val="none"/>
        </w:rPr>
        <w:instrText xml:space="preserve"> HYPERLINK "http://www.consultant.ru/online/base/?req=doc;base=LAW;n=121974;dst=3560" \t "_blank"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0000EE"/>
          <w:sz w:val="28"/>
          <w:szCs w:val="28"/>
          <w:highlight w:val="none"/>
          <w:u w:val="single" w:color="0000EE"/>
        </w:rPr>
        <w:t>кредитная организация</w:t>
      </w:r>
      <w:r>
        <w:fldChar w:fldCharType="end"/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 соответствии с п. 1 ст. 809, п. 1 ст. 810 ГК РФ кредитор имеет право на получение с заемщика процентов на сумму кредита в размерах и в порядке, определенных договором.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Пунктом 2 ст. 811 ГК РФ определено, что если договором займа предусмотрено возвращение займа по частям (в рассрочку), то при нарушении заемщиком срока, установленного для возврата очередной части займа, займодавец вправе потребовать </w:t>
      </w:r>
      <w:r>
        <w:fldChar w:fldCharType="begin"/>
      </w:r>
      <w:r>
        <w:rPr>
          <w:highlight w:val="none"/>
        </w:rPr>
        <w:instrText xml:space="preserve"> HYPERLINK "http://www.consultant.ru/document/cons_s_EC45693C260E8FDF48CD441E4A3822DC55D3CF65888FCDD5E068F0E84D14C3FB/"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0000EE"/>
          <w:sz w:val="28"/>
          <w:szCs w:val="28"/>
          <w:highlight w:val="none"/>
          <w:u w:val="single" w:color="0000EE"/>
        </w:rPr>
        <w:t>досрочного возврата</w:t>
      </w:r>
      <w:r>
        <w:fldChar w:fldCharType="end"/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всей оставшейся суммы займа вместе с причитающимися процентами.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 соответствии с п. 1 ст. 329, п. 1 ст. 330 ГК РФ исполнение обязательств может обеспечиваться неустойкой, которой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причиненные ему убытки.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В судебном заседании установлено, что </w:t>
      </w:r>
      <w:r>
        <w:rPr>
          <w:rStyle w:val="cat-Dategrp-3rplc-16"/>
          <w:rFonts w:ascii="Times New Roman" w:eastAsia="Times New Roman" w:hAnsi="Times New Roman" w:cs="Times New Roman"/>
          <w:sz w:val="28"/>
          <w:szCs w:val="28"/>
          <w:highlight w:val="none"/>
        </w:rPr>
        <w:t>дата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между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АО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Сбербанк и </w:t>
      </w:r>
      <w:r>
        <w:rPr>
          <w:rStyle w:val="cat-FIOgrp-14rplc-17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заключен договор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возобновляемой кредитной линии посредством выдачи банковской карты с предоставленным по ней кредитом и обслуживанием счета по данной карте в российских рублях.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Обязательства по данному договору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Банком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были исполнены,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кредитная карта и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денежные средства были предоставлены Заемщик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у, который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не выполнил принятые на себя обязательства по указанному договору, платежи в погашение основного долга и процентов оплатил частично, в результате чего у н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его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образовалась задолженность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.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Ответчиком по иску является правопреемник </w:t>
      </w:r>
      <w:r>
        <w:rPr>
          <w:rStyle w:val="cat-FIOgrp-12rplc-18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., которая является наследником </w:t>
      </w:r>
      <w:r>
        <w:rPr>
          <w:rStyle w:val="cat-FIOgrp-13rplc-19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 связи с 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го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смертью </w:t>
      </w:r>
      <w:r>
        <w:rPr>
          <w:rStyle w:val="cat-Dategrp-4rplc-20"/>
          <w:rFonts w:ascii="Times New Roman" w:eastAsia="Times New Roman" w:hAnsi="Times New Roman" w:cs="Times New Roman"/>
          <w:sz w:val="28"/>
          <w:szCs w:val="28"/>
          <w:highlight w:val="none"/>
        </w:rPr>
        <w:t>дата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.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На основании ст. 1175 ГК РФ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аследники, принявшие наследство, отвечают по долгам наследодателя солидарно (статья 323). Каждый из наследников отвечает по долгам наследодателя в пределах стоимости перешедшего к нему наследственного имущества. Наследник, принявший наследство в порядке наследственной трансмиссии (статья 1156), отвечает в пределах стоимости этого наследственного имущества по долгам наследодателя, которому это имущество принадлежало, и не отвечает этим имуществом по долгам наследника, от которого к нему перешло право на принятие наследства. Кредиторы наследодателя вправе предъявить свои требования к принявшим наследство наследникам в пределах сроков исковой давности, установленных для соответствующих требований. До принятия наследства требования кредиторов могут быть предъявлены к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наследственному имуществу, в целях сохранения которого к участию в деле привлекается исполнитель завещания или нотариус. В последнем случае суд приостанавливает рассмотрение дела до принятия наследства наследниками или перехода выморочного имущества в соответствии со статьей 1151 настоящего Кодекса к Российской Федерации, субъекту Российской Федерации или муниципальному образованию. При предъявлении требований кредиторами наследодателя срок исковой давности, установленный для соответствующих требований, не подлежит перерыву, приостановлению и восстановлению.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Задолженность ответчика по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кредитной карте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по состоянию на </w:t>
      </w:r>
      <w:r>
        <w:rPr>
          <w:rStyle w:val="cat-Dategrp-5rplc-21"/>
          <w:rFonts w:ascii="Times New Roman" w:eastAsia="Times New Roman" w:hAnsi="Times New Roman" w:cs="Times New Roman"/>
          <w:sz w:val="28"/>
          <w:szCs w:val="28"/>
          <w:highlight w:val="none"/>
        </w:rPr>
        <w:t>дата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составляет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Style w:val="cat-Sumgrp-18rplc-22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из которых основной долг </w:t>
      </w:r>
      <w:r>
        <w:rPr>
          <w:rStyle w:val="cat-Sumgrp-20rplc-23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проценты </w:t>
      </w:r>
      <w:r>
        <w:rPr>
          <w:rStyle w:val="cat-Sumgrp-21rplc-24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Согласно ст. 56 ГПК РФ каждая сторона должна доказать те обстоятельства, на которые она ссылается как на основания своих требований и возражений, если иное не предусмотрено федеральным законом.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Доказательств, свидетельствующих об исполнении надлежащим образом принятых на себя обязательств по кредитному договору, так и опровергающих расчет задолженности по кредитному договору ответчик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ом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не представлено.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 силу ст. 150 ГПК РФ непредставление ответчиком доказательств и возражений не препятствует рассмотрению дела по имеющимся в деле доказательствам.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Представленные истцом в подтверждение исковых требований доказательства суд находит достаточными, достоверными, а расчет взыскиваемой суммы в части основного долга и процентов обоснованным, поскольку данный расчет не противоречит условиям заключенного между сторонами договора и требованиям закона.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Согласно разъяснениям, содержащимся в </w:t>
      </w:r>
      <w:r>
        <w:fldChar w:fldCharType="begin"/>
      </w:r>
      <w:r>
        <w:rPr>
          <w:highlight w:val="none"/>
        </w:rPr>
        <w:instrText xml:space="preserve"> HYPERLINK "consultantplus://offline/ref=AAE3BA6847F59E2C1664490BEDD5CB2E579C766243C3E52E89404A237470ED4ECDE52CFDBC80DF342D04DE5A94D0AC923AB5B8978ABD6316y9t3H"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0000EE"/>
          <w:sz w:val="28"/>
          <w:szCs w:val="28"/>
          <w:highlight w:val="none"/>
          <w:u w:val="single" w:color="0000EE"/>
        </w:rPr>
        <w:t>п. 16</w:t>
      </w:r>
      <w:r>
        <w:fldChar w:fldCharType="end"/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Постановления Пленума Верховного Суда РФ, Пленума Высшего Арбитражного Суда РФ № 13/14 от </w:t>
      </w:r>
      <w:r>
        <w:rPr>
          <w:rStyle w:val="cat-Dategrp-6rplc-25"/>
          <w:rFonts w:ascii="Times New Roman" w:eastAsia="Times New Roman" w:hAnsi="Times New Roman" w:cs="Times New Roman"/>
          <w:sz w:val="28"/>
          <w:szCs w:val="28"/>
          <w:highlight w:val="none"/>
        </w:rPr>
        <w:t>дата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«О практике применения положений Гражданского кодекса Российской Федерации о процентах за пользование чужими денежными средствами» (в связи с утверждением Постановления Пленума Верховного Суда РФ № 7 от </w:t>
      </w:r>
      <w:r>
        <w:rPr>
          <w:rStyle w:val="cat-Dategrp-7rplc-26"/>
          <w:rFonts w:ascii="Times New Roman" w:eastAsia="Times New Roman" w:hAnsi="Times New Roman" w:cs="Times New Roman"/>
          <w:sz w:val="28"/>
          <w:szCs w:val="28"/>
          <w:highlight w:val="none"/>
        </w:rPr>
        <w:t>дата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«О применении судами некоторых положений Гражданского кодекса РФ об ответственности за нарушение обязательств» указанный пункт сохранил свое действие) в случаях, когда на основании </w:t>
      </w:r>
      <w:r>
        <w:fldChar w:fldCharType="begin"/>
      </w:r>
      <w:r>
        <w:rPr>
          <w:highlight w:val="none"/>
        </w:rPr>
        <w:instrText xml:space="preserve"> HYPERLINK "consultantplus://offline/ref=AAE3BA6847F59E2C1664490BEDD5CB2E549C756B45C4E52E89404A237470ED4ECDE52CFDBC81DB352104DE5A94D0AC923AB5B8978ABD6316y9t3H"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0000EE"/>
          <w:sz w:val="28"/>
          <w:szCs w:val="28"/>
          <w:highlight w:val="none"/>
          <w:u w:val="single" w:color="0000EE"/>
        </w:rPr>
        <w:t>п. 2 ст. 811</w:t>
      </w:r>
      <w:r>
        <w:fldChar w:fldCharType="end"/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</w:t>
      </w:r>
      <w:r>
        <w:fldChar w:fldCharType="begin"/>
      </w:r>
      <w:r>
        <w:rPr>
          <w:highlight w:val="none"/>
        </w:rPr>
        <w:instrText xml:space="preserve"> HYPERLINK "consultantplus://offline/ref=AAE3BA6847F59E2C1664490BEDD5CB2E549C756B45C4E52E89404A237470ED4ECDE52CFDBC81DB362C04DE5A94D0AC923AB5B8978ABD6316y9t3H"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0000EE"/>
          <w:sz w:val="28"/>
          <w:szCs w:val="28"/>
          <w:highlight w:val="none"/>
          <w:u w:val="single" w:color="0000EE"/>
        </w:rPr>
        <w:t>ст. 813</w:t>
      </w:r>
      <w:r>
        <w:fldChar w:fldCharType="end"/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</w:t>
      </w:r>
      <w:r>
        <w:fldChar w:fldCharType="begin"/>
      </w:r>
      <w:r>
        <w:rPr>
          <w:highlight w:val="none"/>
        </w:rPr>
        <w:instrText xml:space="preserve"> HYPERLINK "consultantplus://offline/ref=AAE3BA6847F59E2C1664490BEDD5CB2E549C756B45C4E52E89404A237470ED4ECDE52CFDBC81DB362004DE5A94D0AC923AB5B8978ABD6316y9t3H"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0000EE"/>
          <w:sz w:val="28"/>
          <w:szCs w:val="28"/>
          <w:highlight w:val="none"/>
          <w:u w:val="single" w:color="0000EE"/>
        </w:rPr>
        <w:t>п. 2 ст. 814</w:t>
      </w:r>
      <w:r>
        <w:fldChar w:fldCharType="end"/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ГК РФ заимодавец вправе потребовать досрочного возврата суммы займа или его части вместе с причитающимися процентами, проценты в установленном договором размере (</w:t>
      </w:r>
      <w:r>
        <w:fldChar w:fldCharType="begin"/>
      </w:r>
      <w:r>
        <w:rPr>
          <w:highlight w:val="none"/>
        </w:rPr>
        <w:instrText xml:space="preserve"> HYPERLINK "consultantplus://offline/ref=AAE3BA6847F59E2C1664490BEDD5CB2E549C756B45C4E52E89404A237470ED4ECDE52CFDBC81DB342D04DE5A94D0AC923AB5B8978ABD6316y9t3H"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0000EE"/>
          <w:sz w:val="28"/>
          <w:szCs w:val="28"/>
          <w:highlight w:val="none"/>
          <w:u w:val="single" w:color="0000EE"/>
        </w:rPr>
        <w:t>ст. 809</w:t>
      </w:r>
      <w:r>
        <w:fldChar w:fldCharType="end"/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ГК РФ) могут быть взысканы по требованию заимодавца до дня, когда сумма займа в соответствии с договором должна быть возвращена.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На основании изложенного, суд приходит к выводу о том, что с ответчик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в пользу истца подлежит взысканию задолженность в размере: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 </w:t>
      </w:r>
      <w:r>
        <w:rPr>
          <w:rStyle w:val="cat-Sumgrp-18rplc-27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 соответствии со ст. ст. 88, 94, 98 ГПК РФ с ответчик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в пользу истца подлежат взысканию расходы по уплате государственной пошлины в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размере </w:t>
      </w:r>
      <w:r>
        <w:rPr>
          <w:rStyle w:val="cat-Sumgrp-19rplc-28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На основании изложенного, руководствуясь ст. ст. 194-198 ГПК РФ, суд</w:t>
      </w:r>
    </w:p>
    <w:p>
      <w:pPr>
        <w:spacing w:before="240" w:after="200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highlight w:val="none"/>
        </w:rPr>
        <w:t>Р Е Ш И Л:</w:t>
      </w:r>
    </w:p>
    <w:p>
      <w:pPr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  <w:highlight w:val="non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Иск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овые требования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Style w:val="cat-OrganizationNamegrp-22rplc-29"/>
          <w:rFonts w:ascii="Times New Roman" w:eastAsia="Times New Roman" w:hAnsi="Times New Roman" w:cs="Times New Roman"/>
          <w:sz w:val="28"/>
          <w:szCs w:val="28"/>
          <w:highlight w:val="none"/>
        </w:rPr>
        <w:t>наименование организации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в лице филиала – Московского банка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ПАО Сб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ербанк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к </w:t>
      </w:r>
      <w:r>
        <w:rPr>
          <w:rStyle w:val="cat-FIOgrp-11rplc-30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о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взыскании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задолженности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по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кредитному договору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удовлетворить.</w:t>
      </w:r>
    </w:p>
    <w:p>
      <w:pPr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  <w:highlight w:val="non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Взыскать с </w:t>
      </w:r>
      <w:r>
        <w:rPr>
          <w:rStyle w:val="cat-FIOgrp-16rplc-31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пользу </w:t>
      </w:r>
      <w:r>
        <w:rPr>
          <w:rStyle w:val="cat-OrganizationNamegrp-22rplc-32"/>
          <w:rFonts w:ascii="Times New Roman" w:eastAsia="Times New Roman" w:hAnsi="Times New Roman" w:cs="Times New Roman"/>
          <w:sz w:val="28"/>
          <w:szCs w:val="28"/>
          <w:highlight w:val="none"/>
        </w:rPr>
        <w:t>наименование организации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в лице филиала – Московского банка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ПАО Сб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ербанк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задолженность по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кредитно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й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карте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№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4276010024418525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размере </w:t>
      </w:r>
      <w:r>
        <w:rPr>
          <w:rStyle w:val="cat-Sumgrp-18rplc-33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расходы по оплате госпошлины в размере </w:t>
      </w:r>
      <w:r>
        <w:rPr>
          <w:rStyle w:val="cat-Sumgrp-19rplc-34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Взыскание с </w:t>
      </w:r>
      <w:r>
        <w:rPr>
          <w:rStyle w:val="cat-FIOgrp-16rplc-35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производить за счет наследственного имущества </w:t>
      </w:r>
      <w:r>
        <w:rPr>
          <w:rStyle w:val="cat-FIOgrp-17rplc-36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в пределах стоимости перешедшего к н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ей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наследственного имущества.</w:t>
      </w:r>
    </w:p>
    <w:p>
      <w:pPr>
        <w:spacing w:before="0" w:after="0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Решение может быть обжаловано в апелляционном порядке в Московский городской суд в течение месяца со дня принятия решения суда в окончательной форме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(</w:t>
      </w:r>
      <w:r>
        <w:rPr>
          <w:rStyle w:val="cat-Dategrp-8rplc-37"/>
          <w:rFonts w:ascii="Times New Roman" w:eastAsia="Times New Roman" w:hAnsi="Times New Roman" w:cs="Times New Roman"/>
          <w:sz w:val="28"/>
          <w:szCs w:val="28"/>
          <w:highlight w:val="none"/>
        </w:rPr>
        <w:t>дата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.</w:t>
      </w:r>
    </w:p>
    <w:tbl>
      <w:tblPr>
        <w:tblW w:w="9760" w:type="dxa"/>
        <w:tblInd w:w="221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9458"/>
        <w:gridCol w:w="302"/>
      </w:tblGrid>
      <w:tr>
        <w:tblPrEx>
          <w:tblW w:w="9760" w:type="dxa"/>
          <w:tblInd w:w="221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38" w:type="dxa"/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top"/>
            <w:hideMark/>
          </w:tcPr>
          <w:tbl>
            <w:tblPr>
              <w:tblW w:w="9072" w:type="dxa"/>
              <w:tblInd w:w="250" w:type="dxa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254"/>
              <w:gridCol w:w="4818"/>
            </w:tblGrid>
            <w:tr>
              <w:tblPrEx>
                <w:tblW w:w="9072" w:type="dxa"/>
                <w:tblInd w:w="25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4243" w:type="dxa"/>
                  <w:noWrap w:val="0"/>
                  <w:tcMar>
                    <w:top w:w="5" w:type="dxa"/>
                    <w:left w:w="113" w:type="dxa"/>
                    <w:bottom w:w="5" w:type="dxa"/>
                    <w:right w:w="113" w:type="dxa"/>
                  </w:tcMar>
                  <w:vAlign w:val="top"/>
                  <w:hideMark/>
                </w:tcPr>
                <w:p>
                  <w:pPr>
                    <w:spacing w:before="240" w:after="240" w:line="276" w:lineRule="auto"/>
                    <w:ind w:left="243"/>
                    <w:rPr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8"/>
                      <w:szCs w:val="28"/>
                      <w:highlight w:val="none"/>
                    </w:rPr>
                    <w:t>Судья:</w:t>
                  </w:r>
                </w:p>
              </w:tc>
              <w:tc>
                <w:tcPr>
                  <w:tcW w:w="4829" w:type="dxa"/>
                  <w:noWrap w:val="0"/>
                  <w:tcMar>
                    <w:top w:w="5" w:type="dxa"/>
                    <w:left w:w="113" w:type="dxa"/>
                    <w:bottom w:w="5" w:type="dxa"/>
                    <w:right w:w="113" w:type="dxa"/>
                  </w:tcMar>
                  <w:vAlign w:val="top"/>
                  <w:hideMark/>
                </w:tcPr>
                <w:p>
                  <w:pPr>
                    <w:spacing w:before="240" w:after="240" w:line="276" w:lineRule="auto"/>
                    <w:ind w:left="610" w:right="675" w:hanging="10"/>
                    <w:jc w:val="right"/>
                    <w:rPr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8"/>
                      <w:szCs w:val="28"/>
                    </w:rPr>
                  </w:pPr>
                </w:p>
              </w:tc>
            </w:tr>
          </w:tbl>
          <w:p>
            <w:pPr>
              <w:spacing w:before="240" w:after="240"/>
              <w:ind w:left="709" w:hanging="142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  <w:tc>
          <w:tcPr>
            <w:tcW w:w="222" w:type="dxa"/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top"/>
            <w:hideMark/>
          </w:tcPr>
          <w:p>
            <w:pPr>
              <w:spacing w:before="240" w:after="240"/>
              <w:ind w:firstLine="2561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</w:tbl>
    <w:p>
      <w:pPr>
        <w:spacing w:before="0" w:after="200" w:line="276" w:lineRule="auto"/>
        <w:rPr>
          <w:sz w:val="26"/>
          <w:szCs w:val="26"/>
        </w:rPr>
      </w:pPr>
    </w:p>
    <w:sectPr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t-Addressgrp-0rplc-0">
    <w:name w:val="cat-Address grp-0 rplc-0"/>
    <w:basedOn w:val="DefaultParagraphFont"/>
  </w:style>
  <w:style w:type="character" w:customStyle="1" w:styleId="cat-Dategrp-2rplc-1">
    <w:name w:val="cat-Date grp-2 rplc-1"/>
    <w:basedOn w:val="DefaultParagraphFont"/>
  </w:style>
  <w:style w:type="character" w:customStyle="1" w:styleId="cat-Addressgrp-1rplc-2">
    <w:name w:val="cat-Address grp-1 rplc-2"/>
    <w:basedOn w:val="DefaultParagraphFont"/>
  </w:style>
  <w:style w:type="character" w:customStyle="1" w:styleId="cat-FIOgrp-9rplc-3">
    <w:name w:val="cat-FIO grp-9 rplc-3"/>
    <w:basedOn w:val="DefaultParagraphFont"/>
  </w:style>
  <w:style w:type="character" w:customStyle="1" w:styleId="cat-FIOgrp-10rplc-4">
    <w:name w:val="cat-FIO grp-10 rplc-4"/>
    <w:basedOn w:val="DefaultParagraphFont"/>
  </w:style>
  <w:style w:type="character" w:customStyle="1" w:styleId="cat-OrganizationNamegrp-22rplc-5">
    <w:name w:val="cat-OrganizationName grp-22 rplc-5"/>
    <w:basedOn w:val="DefaultParagraphFont"/>
  </w:style>
  <w:style w:type="character" w:customStyle="1" w:styleId="cat-FIOgrp-11rplc-6">
    <w:name w:val="cat-FIO grp-11 rplc-6"/>
    <w:basedOn w:val="DefaultParagraphFont"/>
  </w:style>
  <w:style w:type="character" w:customStyle="1" w:styleId="cat-OrganizationNamegrp-23rplc-7">
    <w:name w:val="cat-OrganizationName grp-23 rplc-7"/>
    <w:basedOn w:val="DefaultParagraphFont"/>
  </w:style>
  <w:style w:type="character" w:customStyle="1" w:styleId="cat-FIOgrp-12rplc-8">
    <w:name w:val="cat-FIO grp-12 rplc-8"/>
    <w:basedOn w:val="DefaultParagraphFont"/>
  </w:style>
  <w:style w:type="character" w:customStyle="1" w:styleId="cat-FIOgrp-13rplc-9">
    <w:name w:val="cat-FIO grp-13 rplc-9"/>
    <w:basedOn w:val="DefaultParagraphFont"/>
  </w:style>
  <w:style w:type="character" w:customStyle="1" w:styleId="cat-Sumgrp-18rplc-10">
    <w:name w:val="cat-Sum grp-18 rplc-10"/>
    <w:basedOn w:val="DefaultParagraphFont"/>
  </w:style>
  <w:style w:type="character" w:customStyle="1" w:styleId="cat-Sumgrp-19rplc-11">
    <w:name w:val="cat-Sum grp-19 rplc-11"/>
    <w:basedOn w:val="DefaultParagraphFont"/>
  </w:style>
  <w:style w:type="character" w:customStyle="1" w:styleId="cat-Dategrp-3rplc-12">
    <w:name w:val="cat-Date grp-3 rplc-12"/>
    <w:basedOn w:val="DefaultParagraphFont"/>
  </w:style>
  <w:style w:type="character" w:customStyle="1" w:styleId="cat-FIOgrp-14rplc-13">
    <w:name w:val="cat-FIO grp-14 rplc-13"/>
    <w:basedOn w:val="DefaultParagraphFont"/>
  </w:style>
  <w:style w:type="character" w:customStyle="1" w:styleId="cat-FIOgrp-15rplc-14">
    <w:name w:val="cat-FIO grp-15 rplc-14"/>
    <w:basedOn w:val="DefaultParagraphFont"/>
  </w:style>
  <w:style w:type="character" w:customStyle="1" w:styleId="cat-FIOgrp-12rplc-15">
    <w:name w:val="cat-FIO grp-12 rplc-15"/>
    <w:basedOn w:val="DefaultParagraphFont"/>
  </w:style>
  <w:style w:type="character" w:customStyle="1" w:styleId="cat-Dategrp-3rplc-16">
    <w:name w:val="cat-Date grp-3 rplc-16"/>
    <w:basedOn w:val="DefaultParagraphFont"/>
  </w:style>
  <w:style w:type="character" w:customStyle="1" w:styleId="cat-FIOgrp-14rplc-17">
    <w:name w:val="cat-FIO grp-14 rplc-17"/>
    <w:basedOn w:val="DefaultParagraphFont"/>
  </w:style>
  <w:style w:type="character" w:customStyle="1" w:styleId="cat-FIOgrp-12rplc-18">
    <w:name w:val="cat-FIO grp-12 rplc-18"/>
    <w:basedOn w:val="DefaultParagraphFont"/>
  </w:style>
  <w:style w:type="character" w:customStyle="1" w:styleId="cat-FIOgrp-13rplc-19">
    <w:name w:val="cat-FIO grp-13 rplc-19"/>
    <w:basedOn w:val="DefaultParagraphFont"/>
  </w:style>
  <w:style w:type="character" w:customStyle="1" w:styleId="cat-Dategrp-4rplc-20">
    <w:name w:val="cat-Date grp-4 rplc-20"/>
    <w:basedOn w:val="DefaultParagraphFont"/>
  </w:style>
  <w:style w:type="character" w:customStyle="1" w:styleId="cat-Dategrp-5rplc-21">
    <w:name w:val="cat-Date grp-5 rplc-21"/>
    <w:basedOn w:val="DefaultParagraphFont"/>
  </w:style>
  <w:style w:type="character" w:customStyle="1" w:styleId="cat-Sumgrp-18rplc-22">
    <w:name w:val="cat-Sum grp-18 rplc-22"/>
    <w:basedOn w:val="DefaultParagraphFont"/>
  </w:style>
  <w:style w:type="character" w:customStyle="1" w:styleId="cat-Sumgrp-20rplc-23">
    <w:name w:val="cat-Sum grp-20 rplc-23"/>
    <w:basedOn w:val="DefaultParagraphFont"/>
  </w:style>
  <w:style w:type="character" w:customStyle="1" w:styleId="cat-Sumgrp-21rplc-24">
    <w:name w:val="cat-Sum grp-21 rplc-24"/>
    <w:basedOn w:val="DefaultParagraphFont"/>
  </w:style>
  <w:style w:type="character" w:customStyle="1" w:styleId="cat-Dategrp-6rplc-25">
    <w:name w:val="cat-Date grp-6 rplc-25"/>
    <w:basedOn w:val="DefaultParagraphFont"/>
  </w:style>
  <w:style w:type="character" w:customStyle="1" w:styleId="cat-Dategrp-7rplc-26">
    <w:name w:val="cat-Date grp-7 rplc-26"/>
    <w:basedOn w:val="DefaultParagraphFont"/>
  </w:style>
  <w:style w:type="character" w:customStyle="1" w:styleId="cat-Sumgrp-18rplc-27">
    <w:name w:val="cat-Sum grp-18 rplc-27"/>
    <w:basedOn w:val="DefaultParagraphFont"/>
  </w:style>
  <w:style w:type="character" w:customStyle="1" w:styleId="cat-Sumgrp-19rplc-28">
    <w:name w:val="cat-Sum grp-19 rplc-28"/>
    <w:basedOn w:val="DefaultParagraphFont"/>
  </w:style>
  <w:style w:type="character" w:customStyle="1" w:styleId="cat-OrganizationNamegrp-22rplc-29">
    <w:name w:val="cat-OrganizationName grp-22 rplc-29"/>
    <w:basedOn w:val="DefaultParagraphFont"/>
  </w:style>
  <w:style w:type="character" w:customStyle="1" w:styleId="cat-FIOgrp-11rplc-30">
    <w:name w:val="cat-FIO grp-11 rplc-30"/>
    <w:basedOn w:val="DefaultParagraphFont"/>
  </w:style>
  <w:style w:type="character" w:customStyle="1" w:styleId="cat-FIOgrp-16rplc-31">
    <w:name w:val="cat-FIO grp-16 rplc-31"/>
    <w:basedOn w:val="DefaultParagraphFont"/>
  </w:style>
  <w:style w:type="character" w:customStyle="1" w:styleId="cat-OrganizationNamegrp-22rplc-32">
    <w:name w:val="cat-OrganizationName grp-22 rplc-32"/>
    <w:basedOn w:val="DefaultParagraphFont"/>
  </w:style>
  <w:style w:type="character" w:customStyle="1" w:styleId="cat-Sumgrp-18rplc-33">
    <w:name w:val="cat-Sum grp-18 rplc-33"/>
    <w:basedOn w:val="DefaultParagraphFont"/>
  </w:style>
  <w:style w:type="character" w:customStyle="1" w:styleId="cat-Sumgrp-19rplc-34">
    <w:name w:val="cat-Sum grp-19 rplc-34"/>
    <w:basedOn w:val="DefaultParagraphFont"/>
  </w:style>
  <w:style w:type="character" w:customStyle="1" w:styleId="cat-FIOgrp-16rplc-35">
    <w:name w:val="cat-FIO grp-16 rplc-35"/>
    <w:basedOn w:val="DefaultParagraphFont"/>
  </w:style>
  <w:style w:type="character" w:customStyle="1" w:styleId="cat-FIOgrp-17rplc-36">
    <w:name w:val="cat-FIO grp-17 rplc-36"/>
    <w:basedOn w:val="DefaultParagraphFont"/>
  </w:style>
  <w:style w:type="character" w:customStyle="1" w:styleId="cat-Dategrp-8rplc-37">
    <w:name w:val="cat-Date grp-8 rplc-37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