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sdt>
      <w:sdtPr>
        <w:alias w:val="Решение"/>
        <w:tag w:val="Решение"/>
        <w:id w:val="622399185"/>
        <w:placeholder>
          <w:docPart w:val="DefaultPlaceholder_22675703"/>
        </w:placeholder>
        <w:showingPlcHdr/>
        <w:richText/>
      </w:sdtPr>
      <w:sdtContent>
        <w:p>
          <w:pPr>
            <w:spacing w:before="0" w:after="0"/>
            <w:ind w:firstLine="567"/>
            <w:jc w:val="center"/>
            <w:rPr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aps/>
              <w:spacing w:val="7"/>
              <w:sz w:val="28"/>
              <w:szCs w:val="28"/>
              <w:highlight w:val="none"/>
            </w:rPr>
            <w:t>РЕШЕНИЕ</w:t>
          </w:r>
        </w:p>
      </w:sdtContent>
    </w:sdt>
    <w:p>
      <w:pPr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pacing w:val="7"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  <w:rPr>
          <w:sz w:val="28"/>
          <w:szCs w:val="28"/>
        </w:rPr>
      </w:pPr>
    </w:p>
    <w:tbl>
      <w:tblPr>
        <w:tblW w:w="9464" w:type="dxa"/>
        <w:tblInd w:w="11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5"/>
        <w:gridCol w:w="2060"/>
        <w:gridCol w:w="3549"/>
      </w:tblGrid>
      <w:tr>
        <w:tblPrEx>
          <w:tblW w:w="9464" w:type="dxa"/>
          <w:tblInd w:w="11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36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sdt>
              <w:sdtPr>
                <w:alias w:val="Дата"/>
                <w:tag w:val="Дата"/>
                <w:id w:val="1670903641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30 января 2023 года</w:t>
                </w:r>
              </w:sdtContent>
            </w:sdt>
          </w:p>
        </w:tc>
        <w:tc>
          <w:tcPr>
            <w:tcW w:w="1984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0rplc-0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</w:tc>
      </w:tr>
    </w:tbl>
    <w:p>
      <w:pPr>
        <w:spacing w:before="24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Щербинский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районный суд </w:t>
      </w:r>
      <w:r>
        <w:rPr>
          <w:rStyle w:val="cat-Addressgrp-1rplc-1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</w:t>
      </w:r>
      <w:r>
        <w:rPr>
          <w:rStyle w:val="cat-FIOgrp-3rplc-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секретаре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4rplc-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рассмотрев в открытом судебном заседании гражданское дело № 2-0188/2023 по исковому заявлению ПАО Сбербанк России в лице филиала – Московского банка ПАО Сбербанк к </w:t>
      </w:r>
      <w:r>
        <w:rPr>
          <w:rStyle w:val="cat-FIOgrp-6rplc-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5rplc-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эмиссионному контракту,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руководствуясь ст. ст. 194 - 199 ГПК РФ, суд</w:t>
      </w:r>
    </w:p>
    <w:p>
      <w:pPr>
        <w:spacing w:before="240" w:after="24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pacing w:val="20"/>
          <w:sz w:val="28"/>
          <w:szCs w:val="28"/>
          <w:highlight w:val="none"/>
        </w:rPr>
        <w:t>решил: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ПАО Сбербанк России в лице филиала – Московского банка ПАО Сбербанк к </w:t>
      </w:r>
      <w:r>
        <w:rPr>
          <w:rStyle w:val="cat-FIOgrp-6rplc-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5rplc-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эмиссионному контракту – удовлетворить.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 </w:t>
      </w:r>
      <w:r>
        <w:rPr>
          <w:rStyle w:val="cat-FIOgrp-6rplc-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8rplc-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пользу ПАО Сбербанк России в лице филиала – Московского банка ПАО Сбербанк задолженность по эмиссионному контракту в размере </w:t>
      </w:r>
      <w:r>
        <w:rPr>
          <w:rStyle w:val="cat-Sumgrp-17rplc-1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расходы по оплате государственной пошлины в размере </w:t>
      </w:r>
      <w:r>
        <w:rPr>
          <w:rStyle w:val="cat-Sumgrp-18rplc-1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пределах стоимости принятого наследственного имущества после смерти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7rplc-1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sdt>
        <w:sdtPr>
          <w:alias w:val="Обжалование"/>
          <w:tag w:val="Обжалование"/>
          <w:id w:val="1041159353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Решение может быть обжаловано в Московский городской суд в течение месяца со дня принятия судом решения через 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Щербинский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 районный суд </w:t>
          </w:r>
          <w:r>
            <w:rPr>
              <w:rStyle w:val="cat-Addressgrp-1rplc-13"/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адрес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.</w:t>
          </w:r>
        </w:sdtContent>
      </w:sdt>
    </w:p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240"/>
        <w:ind w:firstLine="567"/>
        <w:jc w:val="both"/>
        <w:rPr>
          <w:sz w:val="28"/>
          <w:szCs w:val="28"/>
        </w:rPr>
      </w:pPr>
    </w:p>
    <w:tbl>
      <w:tblPr>
        <w:tblInd w:w="11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69"/>
        <w:gridCol w:w="3103"/>
        <w:gridCol w:w="3206"/>
      </w:tblGrid>
      <w:tr>
        <w:tblPrEx>
          <w:tblInd w:w="11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0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Судья</w:t>
            </w:r>
          </w:p>
        </w:tc>
        <w:tc>
          <w:tcPr>
            <w:tcW w:w="3190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А.А. Кузнецов</w:t>
            </w:r>
          </w:p>
        </w:tc>
      </w:tr>
    </w:tbl>
    <w:p>
      <w:pPr>
        <w:spacing w:before="0" w:after="0"/>
        <w:ind w:firstLine="567"/>
        <w:jc w:val="both"/>
        <w:rPr>
          <w:sz w:val="28"/>
          <w:szCs w:val="28"/>
        </w:rPr>
      </w:pPr>
    </w:p>
    <w:p>
      <w:r>
        <w:rPr>
          <w:sz w:val="28"/>
          <w:szCs w:val="28"/>
          <w:highlight w:val="none"/>
        </w:rPr>
        <w:br w:type="page"/>
      </w:r>
    </w:p>
    <w:sdt>
      <w:sdtPr>
        <w:alias w:val="Решение"/>
        <w:tag w:val="Решение"/>
        <w:id w:val="1598655292"/>
        <w:placeholder>
          <w:docPart w:val="DefaultPlaceholder_22675703"/>
        </w:placeholder>
        <w:showingPlcHdr/>
        <w:richText/>
      </w:sdtPr>
      <w:sdtContent>
        <w:p>
          <w:pPr>
            <w:spacing w:before="0" w:after="0"/>
            <w:ind w:firstLine="567"/>
            <w:jc w:val="center"/>
            <w:rPr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caps/>
              <w:spacing w:val="7"/>
              <w:sz w:val="28"/>
              <w:szCs w:val="28"/>
              <w:highlight w:val="none"/>
            </w:rPr>
            <w:t>РЕШЕНИЕ</w:t>
          </w:r>
        </w:p>
      </w:sdtContent>
    </w:sdt>
    <w:p>
      <w:pPr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pacing w:val="7"/>
          <w:sz w:val="28"/>
          <w:szCs w:val="28"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  <w:rPr>
          <w:sz w:val="28"/>
          <w:szCs w:val="28"/>
        </w:rPr>
      </w:pPr>
    </w:p>
    <w:tbl>
      <w:tblPr>
        <w:tblW w:w="9464" w:type="dxa"/>
        <w:tblInd w:w="11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855"/>
        <w:gridCol w:w="2060"/>
        <w:gridCol w:w="3549"/>
      </w:tblGrid>
      <w:tr>
        <w:tblPrEx>
          <w:tblW w:w="9464" w:type="dxa"/>
          <w:tblInd w:w="11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36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sdt>
              <w:sdtPr>
                <w:alias w:val="Дата"/>
                <w:tag w:val="Дата"/>
                <w:id w:val="787097953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>30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i w:val="0"/>
                    <w:iCs w:val="0"/>
                    <w:smallCaps w:val="0"/>
                    <w:color w:val="000000"/>
                    <w:sz w:val="28"/>
                    <w:szCs w:val="28"/>
                    <w:highlight w:val="none"/>
                  </w:rPr>
                  <w:t xml:space="preserve"> января 2023 года</w:t>
                </w:r>
              </w:sdtContent>
            </w:sdt>
          </w:p>
        </w:tc>
        <w:tc>
          <w:tcPr>
            <w:tcW w:w="1984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Style w:val="cat-Addressgrp-0rplc-15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адрес</w:t>
            </w:r>
          </w:p>
        </w:tc>
      </w:tr>
    </w:tbl>
    <w:p>
      <w:pPr>
        <w:spacing w:before="24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Щербинский районный суд </w:t>
      </w:r>
      <w:r>
        <w:rPr>
          <w:rStyle w:val="cat-Addressgrp-1rplc-1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составе председательствующего судьи </w:t>
      </w:r>
      <w:r>
        <w:rPr>
          <w:rStyle w:val="cat-FIOgrp-3rplc-1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секретаре </w:t>
      </w:r>
      <w:r>
        <w:rPr>
          <w:rStyle w:val="cat-FIOgrp-4rplc-1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рассмотрев в открытом судебном заседании гражданское дело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№ 2-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0188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/2023 по исковому заявлению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ПАО Сбербанк России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лице филиала – Московского банка ПАО Сбербанк к </w:t>
      </w:r>
      <w:r>
        <w:rPr>
          <w:rStyle w:val="cat-FIOgrp-6rplc-1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5rplc-2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по эмиссионному контракту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</w:p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highlight w:val="none"/>
        </w:rPr>
        <w:t>УСТАНОВИЛ:</w:t>
      </w:r>
    </w:p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Истец обратился в суд к ответчику с настоящим исковым заявлением, указав в обоснование исковых требований следующее.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14.12.2017 года ПАО Сбербанк (ранее – ОАО «Сбербанк России») и </w:t>
      </w:r>
      <w:r>
        <w:rPr>
          <w:rStyle w:val="cat-FIOgrp-6rplc-2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0rplc-2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заключили эмиссионный контракт №0910-Р-9734427810 на предоставление возобновляемой кредитной линии посредством выдачи кредитной карты банка с предоставленным по ней кредитом под 23,9% годовых и обслуживанием счета по данной карте в российских рублях, а заемщик обязался погашать основой долг и проценты за пользование кредитом ежемесячными платежами в размерах и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сроки, установленные условиями договора и графиком платежей, а также в случае образования неустойку.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Платежи в счет погашения задолженности по кредиту </w:t>
      </w:r>
      <w:r>
        <w:rPr>
          <w:rStyle w:val="cat-FIOgrp-11rplc-2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проводились с нарушениями в части сроков и сумм, обязательных к погашению. В связи с чем, на 27.01.2022 года у него образовалась просроченная задолженность в размере </w:t>
      </w:r>
      <w:r>
        <w:rPr>
          <w:rStyle w:val="cat-Sumgrp-17rplc-2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которая состоит из основного долга в размере </w:t>
      </w:r>
      <w:r>
        <w:rPr>
          <w:rStyle w:val="cat-Sumgrp-19rplc-2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просроченных процентов в размере </w:t>
      </w:r>
      <w:r>
        <w:rPr>
          <w:rStyle w:val="cat-Sumgrp-20rplc-2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информации банка, заемщик </w:t>
      </w:r>
      <w:r>
        <w:rPr>
          <w:rStyle w:val="cat-FIOgrp-11rplc-2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умер 22.11.2019 года, открыто наследственное дело № 66/2020 у нотариуса </w:t>
      </w:r>
      <w:r>
        <w:rPr>
          <w:rStyle w:val="cat-FIOgrp-12rplc-28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Истец, считая свои права как кредитора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нарушенными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просит взыскать с наследника </w:t>
      </w:r>
      <w:r>
        <w:rPr>
          <w:rStyle w:val="cat-FIOgrp-11rplc-2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– Фисин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Е.В. образовавшуюся задолженность, а также расходы по оплате госпошлины.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Представитель истца в судебное заседание не явился, извещен надлежащим образом, в просительной части искового заявления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указал о рассмотрении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дела в отсутствие представителя.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Фисина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Е.В. в судебное заседание явилась, просила применить срок исковой давности, в случае удовлетворения иска просила снизить процентную ставку и разделить платеж. 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Суд, исследовав материалы дела, оценив представленные доказательства в их совокупности, с учетом требований ст. 67 ГПК, приходит к следующему выводу.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ст. 309, 310 ГК РФ обязательства должны исполняться надлежащим образом в соответствии с условиями обязательства и требованиями закона, иных правовых актов. Односторонний отказ от исполнения обязательства и одностороннее изменение его условий не допускаются.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811 ГК РФ, в случае нарушения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 его возврата.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ст.1110 ГК РФ, при наследовании имущество умершего (наследство, наследственное имущество) переходит к другим лицам в порядке универсального правопреемства. 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1112 ГК РФ,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1152 ГК РФ, принятие наследником части наследства означает принятие всего причитающегося ему наследства, в чем бы оно ни заключалось и где бы оно ни находилось.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ст. 1175 ГК РФ, каждый из наследников отвечает по долгам наследодателя в пределах стоимости перешедшего к нему наследственного имущества.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Согласно п.59 Постановления Пленума Верховного суда РФ от 29.05.2012 г. № 9 «О судебной практике по делам о наследовании», наследник должника по кредитному договору обязан возвратить кредитору полученную наследодателем денежную сумму и уплатить проценты на неё в срок и в порядке, которые предусмотрены договором займа.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Судом установлено и следует из материалов дела следующее.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14.12.2017 года ПАО Сбербанк (ранее – ОАО «Сбербанк России») и </w:t>
      </w:r>
      <w:r>
        <w:rPr>
          <w:rStyle w:val="cat-FIOgrp-6rplc-3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0rplc-3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заключили эмиссионный контракт №0910-Р-9734427810 на предоставление возобновляемой кредитной линии посредством выдачи кредитной карты банка с предоставленным по ней кредитом под 23,9%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годовых и обслуживанием счета по данной карте в российских рублях, а заемщик обязался погашать основой долг и проценты за пользование кредитом ежемесячными платежами в размерах и 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сроки, установленные условиями договора и графиком платежей, а также в случае образования неустойку.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Заемщик не в полной мере выполнил взятые на себя обязательства по кредитному договору. </w:t>
      </w:r>
    </w:p>
    <w:p>
      <w:pPr>
        <w:spacing w:before="0" w:after="0" w:line="280" w:lineRule="atLeast"/>
        <w:ind w:firstLine="567"/>
        <w:jc w:val="both"/>
      </w:pPr>
      <w:r>
        <w:rPr>
          <w:rStyle w:val="cat-FIOgrp-6rplc-3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4rplc-35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умер 22.11.2019 года, что подтверждается свидетельством о смерти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X-МЮ № 530902 от 23.11.2019 года.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Согласно наследственному делу № 66/2020 от 14.03.2020 года, открытому нотариусом </w:t>
      </w:r>
      <w:r>
        <w:rPr>
          <w:rStyle w:val="cat-Addressgrp-2rplc-36"/>
          <w:rFonts w:ascii="Times New Roman" w:eastAsia="Times New Roman" w:hAnsi="Times New Roman" w:cs="Times New Roman"/>
          <w:sz w:val="28"/>
          <w:szCs w:val="28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12rplc-37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ответчик Фисина Елена Валентиновна, приняла наследство своего мужа, </w:t>
      </w:r>
      <w:r>
        <w:rPr>
          <w:rStyle w:val="cat-FIOgrp-7rplc-39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в полном объеме. 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 состоянию на 27.01.2022 года задолженность по эмиссионному контракту составляет </w:t>
      </w:r>
      <w:r>
        <w:rPr>
          <w:rStyle w:val="cat-Sumgrp-17rplc-40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из которых задолженность по основному долгу - </w:t>
      </w:r>
      <w:r>
        <w:rPr>
          <w:rStyle w:val="cat-Sumgrp-19rplc-41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задолженность по просроченным процентам – </w:t>
      </w:r>
      <w:r>
        <w:rPr>
          <w:rStyle w:val="cat-Sumgrp-20rplc-42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Поскольку при наследовании имущественная масса умершего переходит к другим лицам в порядке универсального правопреемства, то есть в неизменном виде как единое целое и в один и тот же момент, ПАО Сбербанк в лице филиала – Московский Банк ПАО Сбербанк является кредитором </w:t>
      </w:r>
      <w:r>
        <w:rPr>
          <w:rStyle w:val="cat-FIOgrp-11rplc-4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должник умер, не выполнив обязательства в полном объёме по договору кредитования, наследником по закону является </w:t>
      </w:r>
      <w:r>
        <w:rPr>
          <w:rStyle w:val="cat-FIOgrp-16rplc-44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которая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вступила в наследство и приняла его в полном объеме, тем самым приняла на себя долг наследодателя перед банком, то указанная задолженность подлежит взысканию с ответчика в пределах стоимости перешедшего к ней наследственного имущества.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Доказательств тому, что стоимость принятого наследственного имущества недостаточна для погашения возникшей задолженности, суду ответчиками не представлено.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Как установлено судом, ответчик, являясь наследником, и считая себя таковым, совершил необходимые действия с целью принятия наследства. 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При определении размера подлежащих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ко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взысканию денежных сумм суд руководствуется представленным истцом расчётом исковых требований, проверив который, находит его обоснованным, арифметически верным и соглашается с ним и приходит к выводу, что исковые требования должны быть удовлетворены согласно данному расчёту.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Рассматривая заявление ответчика о снижении размера начисленных процентов по кредиту, суд оснований для снижения процентной ставки по эмиссионному контракту не усматривает, поскольку при заключении договора сторонами оговаривались условия, в том числе проценты, подлежащие уплате за пользование денежными средствами.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Довод ответчика о том, что истцом пропущен срок исковой давности, суд отклоняет, поскольку как усматривается из движения основного долга и срочных процентов, последний платеж был произведен в октябре 2019 года. </w:t>
      </w:r>
    </w:p>
    <w:p>
      <w:pPr>
        <w:spacing w:before="0" w:after="0" w:line="280" w:lineRule="atLeast"/>
        <w:ind w:firstLine="567"/>
        <w:jc w:val="both"/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Таким образом, оценивая собранные по делу доказательства в их совокупности и взаимосвязи, учитывая, что ответчиком каких-либо доводов в опровержение исковых требований суду не представлено, суд находит исковые требования ПАО Сбербанк России в лице филиала – Московского банка ПАО Сбербанк о взыскании с ответчика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Фисина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Е.В. суммы задолженности по эмиссионному контракту подлежащими удовлетворению, поскольку данные требования основаны на законе и соответствуют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условиям заключенного между сторонами договора, в связи, с чем суд взыскивает с ответчика в пользу истца в счет погашения задолженности </w:t>
      </w:r>
      <w:r>
        <w:rPr>
          <w:rStyle w:val="cat-Sumgrp-17rplc-46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из которых: задолженность по основному долгу - </w:t>
      </w:r>
      <w:r>
        <w:rPr>
          <w:rStyle w:val="cat-Sumgrp-19rplc-47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задолженность по просроченным процентам - </w:t>
      </w:r>
      <w:r>
        <w:rPr>
          <w:rStyle w:val="cat-Sumgrp-20rplc-48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 связи с удовлетворением исковых требований, в силу требований ч. 1 ст.98 ГПК РФ, с ответчика в пользу истца подлежат взысканию расходы по уплате государственной пошлины за подачу искового заявления в суд в размере </w:t>
      </w:r>
      <w:r>
        <w:rPr>
          <w:rStyle w:val="cat-Sumgrp-18rplc-49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, и руководствуясь ст. ст. 194 - 199 ГПК РФ, суд</w:t>
      </w:r>
    </w:p>
    <w:p>
      <w:pPr>
        <w:spacing w:before="240" w:after="240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aps/>
          <w:spacing w:val="20"/>
          <w:sz w:val="28"/>
          <w:szCs w:val="28"/>
          <w:highlight w:val="none"/>
        </w:rPr>
        <w:t>решил: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Исковые требования ПАО Сбербанк России в лице филиала – Московского банка ПАО Сбербанк к </w:t>
      </w:r>
      <w:r>
        <w:rPr>
          <w:rStyle w:val="cat-FIOgrp-6rplc-50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5rplc-51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о взыскании задолженности по эмиссионному контракту – удовлетворить.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Взыскать с </w:t>
      </w:r>
      <w:r>
        <w:rPr>
          <w:rStyle w:val="cat-FIOgrp-6rplc-52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8rplc-53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в пользу ПАО Сбербанк России в лице филиала – Московского банка ПАО Сбербанк задолженность по эмиссионному контракту в размере </w:t>
      </w:r>
      <w:r>
        <w:rPr>
          <w:rStyle w:val="cat-Sumgrp-17rplc-54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, расходы по оплате государственной пошлины в размере </w:t>
      </w:r>
      <w:r>
        <w:rPr>
          <w:rStyle w:val="cat-Sumgrp-18rplc-55"/>
          <w:rFonts w:ascii="Times New Roman" w:eastAsia="Times New Roman" w:hAnsi="Times New Roman" w:cs="Times New Roman"/>
          <w:sz w:val="28"/>
          <w:szCs w:val="28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в пределах стоимости принятого наследственного имущества после смерти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Style w:val="cat-FIOgrp-7rplc-56"/>
          <w:rFonts w:ascii="Times New Roman" w:eastAsia="Times New Roman" w:hAnsi="Times New Roman" w:cs="Times New Roman"/>
          <w:sz w:val="28"/>
          <w:szCs w:val="28"/>
          <w:highlight w:val="none"/>
        </w:rPr>
        <w:t>фио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.</w:t>
      </w:r>
    </w:p>
    <w:p>
      <w:pPr>
        <w:spacing w:before="0" w:after="0"/>
        <w:ind w:firstLine="567"/>
        <w:jc w:val="both"/>
        <w:rPr>
          <w:sz w:val="28"/>
          <w:szCs w:val="28"/>
        </w:rPr>
      </w:pPr>
      <w:sdt>
        <w:sdtPr>
          <w:alias w:val="Обжалование"/>
          <w:tag w:val="Обжалование"/>
          <w:id w:val="411782830"/>
          <w:placeholder>
            <w:docPart w:val="DefaultPlaceholder_22675703"/>
          </w:placeholder>
          <w:showingPlcHdr/>
          <w:text/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 xml:space="preserve">Решение может быть обжаловано в Московский городской суд в течение месяца со дня принятия судом решения через Щербинский районный суд </w:t>
          </w:r>
          <w:r>
            <w:rPr>
              <w:rStyle w:val="cat-Addressgrp-1rplc-57"/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адрес</w:t>
          </w:r>
          <w:r>
            <w:rPr>
              <w:rFonts w:ascii="Times New Roman" w:eastAsia="Times New Roman" w:hAnsi="Times New Roman" w:cs="Times New Roman"/>
              <w:sz w:val="28"/>
              <w:szCs w:val="28"/>
              <w:highlight w:val="none"/>
            </w:rPr>
            <w:t>.</w:t>
          </w:r>
        </w:sdtContent>
      </w:sdt>
    </w:p>
    <w:p>
      <w:pPr>
        <w:spacing w:before="0" w:after="0"/>
        <w:ind w:firstLine="567"/>
        <w:jc w:val="both"/>
        <w:rPr>
          <w:sz w:val="28"/>
          <w:szCs w:val="28"/>
        </w:rPr>
      </w:pPr>
    </w:p>
    <w:p>
      <w:pPr>
        <w:spacing w:before="0" w:after="240"/>
        <w:ind w:firstLine="567"/>
        <w:jc w:val="both"/>
        <w:rPr>
          <w:sz w:val="28"/>
          <w:szCs w:val="28"/>
        </w:rPr>
      </w:pPr>
    </w:p>
    <w:tbl>
      <w:tblPr>
        <w:tblInd w:w="11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93"/>
        <w:gridCol w:w="3393"/>
        <w:gridCol w:w="2692"/>
      </w:tblGrid>
      <w:tr>
        <w:tblPrEx>
          <w:tblInd w:w="11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0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Судья</w:t>
            </w:r>
          </w:p>
        </w:tc>
        <w:tc>
          <w:tcPr>
            <w:tcW w:w="3190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  <w:highlight w:val="none"/>
              </w:rPr>
              <w:t>А.А. Кузнецов</w:t>
            </w:r>
          </w:p>
        </w:tc>
      </w:tr>
      <w:tr>
        <w:tblPrEx>
          <w:tblInd w:w="11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0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0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0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190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  <w:noWrap w:val="0"/>
            <w:tcMar>
              <w:top w:w="10" w:type="dxa"/>
              <w:left w:w="118" w:type="dxa"/>
              <w:bottom w:w="10" w:type="dxa"/>
              <w:right w:w="118" w:type="dxa"/>
            </w:tcMar>
            <w:vAlign w:val="top"/>
            <w:hideMark/>
          </w:tcPr>
          <w:p>
            <w:pPr>
              <w:spacing w:before="0" w:after="0"/>
              <w:ind w:firstLine="567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</w:tbl>
    <w:p>
      <w:pPr>
        <w:spacing w:before="0" w:after="0"/>
        <w:ind w:firstLine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Мотивированное решение изготовлено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06 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февраля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highlight w:val="none"/>
        </w:rPr>
        <w:t xml:space="preserve"> года.</w:t>
      </w:r>
    </w:p>
    <w:sectPr>
      <w:head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right"/>
    </w:pPr>
    <w:r>
      <w:rPr>
        <w:rFonts w:ascii="Times New Roman" w:eastAsia="Times New Roman" w:hAnsi="Times New Roman" w:cs="Times New Roman"/>
        <w:highlight w:val="none"/>
      </w:rPr>
      <w:t>УИД: 77</w:t>
    </w:r>
    <w:r>
      <w:rPr>
        <w:rFonts w:ascii="Times New Roman" w:eastAsia="Times New Roman" w:hAnsi="Times New Roman" w:cs="Times New Roman"/>
        <w:highlight w:val="none"/>
      </w:rPr>
      <w:t>RS0034-02-2022-</w:t>
    </w:r>
    <w:r>
      <w:rPr>
        <w:rFonts w:ascii="Times New Roman" w:eastAsia="Times New Roman" w:hAnsi="Times New Roman" w:cs="Times New Roman"/>
        <w:highlight w:val="none"/>
      </w:rPr>
      <w:t>004516</w:t>
    </w:r>
    <w:r>
      <w:rPr>
        <w:rFonts w:ascii="Times New Roman" w:eastAsia="Times New Roman" w:hAnsi="Times New Roman" w:cs="Times New Roman"/>
        <w:highlight w:val="none"/>
      </w:rPr>
      <w:t>-</w:t>
    </w:r>
    <w:r>
      <w:rPr>
        <w:rFonts w:ascii="Times New Roman" w:eastAsia="Times New Roman" w:hAnsi="Times New Roman" w:cs="Times New Roman"/>
        <w:highlight w:val="none"/>
      </w:rPr>
      <w:t>39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3rplc-2">
    <w:name w:val="cat-FIO grp-3 rplc-2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FIOgrp-6rplc-4">
    <w:name w:val="cat-FIO grp-6 rplc-4"/>
    <w:basedOn w:val="DefaultParagraphFont"/>
  </w:style>
  <w:style w:type="character" w:customStyle="1" w:styleId="cat-FIOgrp-5rplc-5">
    <w:name w:val="cat-FIO grp-5 rplc-5"/>
    <w:basedOn w:val="DefaultParagraphFont"/>
  </w:style>
  <w:style w:type="character" w:customStyle="1" w:styleId="cat-FIOgrp-6rplc-6">
    <w:name w:val="cat-FIO grp-6 rplc-6"/>
    <w:basedOn w:val="DefaultParagraphFont"/>
  </w:style>
  <w:style w:type="character" w:customStyle="1" w:styleId="cat-FIOgrp-5rplc-7">
    <w:name w:val="cat-FIO grp-5 rplc-7"/>
    <w:basedOn w:val="DefaultParagraphFont"/>
  </w:style>
  <w:style w:type="character" w:customStyle="1" w:styleId="cat-FIOgrp-6rplc-8">
    <w:name w:val="cat-FIO grp-6 rplc-8"/>
    <w:basedOn w:val="DefaultParagraphFont"/>
  </w:style>
  <w:style w:type="character" w:customStyle="1" w:styleId="cat-FIOgrp-8rplc-9">
    <w:name w:val="cat-FIO grp-8 rplc-9"/>
    <w:basedOn w:val="DefaultParagraphFont"/>
  </w:style>
  <w:style w:type="character" w:customStyle="1" w:styleId="cat-Sumgrp-17rplc-10">
    <w:name w:val="cat-Sum grp-17 rplc-10"/>
    <w:basedOn w:val="DefaultParagraphFont"/>
  </w:style>
  <w:style w:type="character" w:customStyle="1" w:styleId="cat-Sumgrp-18rplc-11">
    <w:name w:val="cat-Sum grp-18 rplc-11"/>
    <w:basedOn w:val="DefaultParagraphFont"/>
  </w:style>
  <w:style w:type="character" w:customStyle="1" w:styleId="cat-FIOgrp-7rplc-12">
    <w:name w:val="cat-FIO grp-7 rplc-12"/>
    <w:basedOn w:val="DefaultParagraphFont"/>
  </w:style>
  <w:style w:type="character" w:customStyle="1" w:styleId="cat-Addressgrp-1rplc-13">
    <w:name w:val="cat-Address grp-1 rplc-13"/>
    <w:basedOn w:val="DefaultParagraphFont"/>
  </w:style>
  <w:style w:type="character" w:customStyle="1" w:styleId="cat-Addressgrp-0rplc-15">
    <w:name w:val="cat-Address grp-0 rplc-15"/>
    <w:basedOn w:val="DefaultParagraphFont"/>
  </w:style>
  <w:style w:type="character" w:customStyle="1" w:styleId="cat-Addressgrp-1rplc-16">
    <w:name w:val="cat-Address grp-1 rplc-16"/>
    <w:basedOn w:val="DefaultParagraphFont"/>
  </w:style>
  <w:style w:type="character" w:customStyle="1" w:styleId="cat-FIOgrp-3rplc-17">
    <w:name w:val="cat-FIO grp-3 rplc-17"/>
    <w:basedOn w:val="DefaultParagraphFont"/>
  </w:style>
  <w:style w:type="character" w:customStyle="1" w:styleId="cat-FIOgrp-4rplc-18">
    <w:name w:val="cat-FIO grp-4 rplc-18"/>
    <w:basedOn w:val="DefaultParagraphFont"/>
  </w:style>
  <w:style w:type="character" w:customStyle="1" w:styleId="cat-FIOgrp-6rplc-19">
    <w:name w:val="cat-FIO grp-6 rplc-19"/>
    <w:basedOn w:val="DefaultParagraphFont"/>
  </w:style>
  <w:style w:type="character" w:customStyle="1" w:styleId="cat-FIOgrp-5rplc-20">
    <w:name w:val="cat-FIO grp-5 rplc-20"/>
    <w:basedOn w:val="DefaultParagraphFont"/>
  </w:style>
  <w:style w:type="character" w:customStyle="1" w:styleId="cat-FIOgrp-6rplc-21">
    <w:name w:val="cat-FIO grp-6 rplc-21"/>
    <w:basedOn w:val="DefaultParagraphFont"/>
  </w:style>
  <w:style w:type="character" w:customStyle="1" w:styleId="cat-FIOgrp-10rplc-22">
    <w:name w:val="cat-FIO grp-10 rplc-22"/>
    <w:basedOn w:val="DefaultParagraphFont"/>
  </w:style>
  <w:style w:type="character" w:customStyle="1" w:styleId="cat-FIOgrp-11rplc-23">
    <w:name w:val="cat-FIO grp-11 rplc-23"/>
    <w:basedOn w:val="DefaultParagraphFont"/>
  </w:style>
  <w:style w:type="character" w:customStyle="1" w:styleId="cat-Sumgrp-17rplc-24">
    <w:name w:val="cat-Sum grp-17 rplc-24"/>
    <w:basedOn w:val="DefaultParagraphFont"/>
  </w:style>
  <w:style w:type="character" w:customStyle="1" w:styleId="cat-Sumgrp-19rplc-25">
    <w:name w:val="cat-Sum grp-19 rplc-25"/>
    <w:basedOn w:val="DefaultParagraphFont"/>
  </w:style>
  <w:style w:type="character" w:customStyle="1" w:styleId="cat-Sumgrp-20rplc-26">
    <w:name w:val="cat-Sum grp-20 rplc-26"/>
    <w:basedOn w:val="DefaultParagraphFont"/>
  </w:style>
  <w:style w:type="character" w:customStyle="1" w:styleId="cat-FIOgrp-11rplc-27">
    <w:name w:val="cat-FIO grp-11 rplc-27"/>
    <w:basedOn w:val="DefaultParagraphFont"/>
  </w:style>
  <w:style w:type="character" w:customStyle="1" w:styleId="cat-FIOgrp-12rplc-28">
    <w:name w:val="cat-FIO grp-12 rplc-28"/>
    <w:basedOn w:val="DefaultParagraphFont"/>
  </w:style>
  <w:style w:type="character" w:customStyle="1" w:styleId="cat-FIOgrp-11rplc-29">
    <w:name w:val="cat-FIO grp-11 rplc-29"/>
    <w:basedOn w:val="DefaultParagraphFont"/>
  </w:style>
  <w:style w:type="character" w:customStyle="1" w:styleId="cat-FIOgrp-6rplc-32">
    <w:name w:val="cat-FIO grp-6 rplc-32"/>
    <w:basedOn w:val="DefaultParagraphFont"/>
  </w:style>
  <w:style w:type="character" w:customStyle="1" w:styleId="cat-FIOgrp-10rplc-33">
    <w:name w:val="cat-FIO grp-10 rplc-33"/>
    <w:basedOn w:val="DefaultParagraphFont"/>
  </w:style>
  <w:style w:type="character" w:customStyle="1" w:styleId="cat-FIOgrp-6rplc-34">
    <w:name w:val="cat-FIO grp-6 rplc-34"/>
    <w:basedOn w:val="DefaultParagraphFont"/>
  </w:style>
  <w:style w:type="character" w:customStyle="1" w:styleId="cat-FIOgrp-14rplc-35">
    <w:name w:val="cat-FIO grp-14 rplc-35"/>
    <w:basedOn w:val="DefaultParagraphFont"/>
  </w:style>
  <w:style w:type="character" w:customStyle="1" w:styleId="cat-Addressgrp-2rplc-36">
    <w:name w:val="cat-Address grp-2 rplc-36"/>
    <w:basedOn w:val="DefaultParagraphFont"/>
  </w:style>
  <w:style w:type="character" w:customStyle="1" w:styleId="cat-FIOgrp-12rplc-37">
    <w:name w:val="cat-FIO grp-12 rplc-37"/>
    <w:basedOn w:val="DefaultParagraphFont"/>
  </w:style>
  <w:style w:type="character" w:customStyle="1" w:styleId="cat-FIOgrp-7rplc-39">
    <w:name w:val="cat-FIO grp-7 rplc-39"/>
    <w:basedOn w:val="DefaultParagraphFont"/>
  </w:style>
  <w:style w:type="character" w:customStyle="1" w:styleId="cat-Sumgrp-17rplc-40">
    <w:name w:val="cat-Sum grp-17 rplc-40"/>
    <w:basedOn w:val="DefaultParagraphFont"/>
  </w:style>
  <w:style w:type="character" w:customStyle="1" w:styleId="cat-Sumgrp-19rplc-41">
    <w:name w:val="cat-Sum grp-19 rplc-41"/>
    <w:basedOn w:val="DefaultParagraphFont"/>
  </w:style>
  <w:style w:type="character" w:customStyle="1" w:styleId="cat-Sumgrp-20rplc-42">
    <w:name w:val="cat-Sum grp-20 rplc-42"/>
    <w:basedOn w:val="DefaultParagraphFont"/>
  </w:style>
  <w:style w:type="character" w:customStyle="1" w:styleId="cat-FIOgrp-11rplc-43">
    <w:name w:val="cat-FIO grp-11 rplc-43"/>
    <w:basedOn w:val="DefaultParagraphFont"/>
  </w:style>
  <w:style w:type="character" w:customStyle="1" w:styleId="cat-FIOgrp-16rplc-44">
    <w:name w:val="cat-FIO grp-16 rplc-44"/>
    <w:basedOn w:val="DefaultParagraphFont"/>
  </w:style>
  <w:style w:type="character" w:customStyle="1" w:styleId="cat-Sumgrp-17rplc-46">
    <w:name w:val="cat-Sum grp-17 rplc-46"/>
    <w:basedOn w:val="DefaultParagraphFont"/>
  </w:style>
  <w:style w:type="character" w:customStyle="1" w:styleId="cat-Sumgrp-19rplc-47">
    <w:name w:val="cat-Sum grp-19 rplc-47"/>
    <w:basedOn w:val="DefaultParagraphFont"/>
  </w:style>
  <w:style w:type="character" w:customStyle="1" w:styleId="cat-Sumgrp-20rplc-48">
    <w:name w:val="cat-Sum grp-20 rplc-48"/>
    <w:basedOn w:val="DefaultParagraphFont"/>
  </w:style>
  <w:style w:type="character" w:customStyle="1" w:styleId="cat-Sumgrp-18rplc-49">
    <w:name w:val="cat-Sum grp-18 rplc-49"/>
    <w:basedOn w:val="DefaultParagraphFont"/>
  </w:style>
  <w:style w:type="character" w:customStyle="1" w:styleId="cat-FIOgrp-6rplc-50">
    <w:name w:val="cat-FIO grp-6 rplc-50"/>
    <w:basedOn w:val="DefaultParagraphFont"/>
  </w:style>
  <w:style w:type="character" w:customStyle="1" w:styleId="cat-FIOgrp-5rplc-51">
    <w:name w:val="cat-FIO grp-5 rplc-51"/>
    <w:basedOn w:val="DefaultParagraphFont"/>
  </w:style>
  <w:style w:type="character" w:customStyle="1" w:styleId="cat-FIOgrp-6rplc-52">
    <w:name w:val="cat-FIO grp-6 rplc-52"/>
    <w:basedOn w:val="DefaultParagraphFont"/>
  </w:style>
  <w:style w:type="character" w:customStyle="1" w:styleId="cat-FIOgrp-8rplc-53">
    <w:name w:val="cat-FIO grp-8 rplc-53"/>
    <w:basedOn w:val="DefaultParagraphFont"/>
  </w:style>
  <w:style w:type="character" w:customStyle="1" w:styleId="cat-Sumgrp-17rplc-54">
    <w:name w:val="cat-Sum grp-17 rplc-54"/>
    <w:basedOn w:val="DefaultParagraphFont"/>
  </w:style>
  <w:style w:type="character" w:customStyle="1" w:styleId="cat-Sumgrp-18rplc-55">
    <w:name w:val="cat-Sum grp-18 rplc-55"/>
    <w:basedOn w:val="DefaultParagraphFont"/>
  </w:style>
  <w:style w:type="character" w:customStyle="1" w:styleId="cat-FIOgrp-7rplc-56">
    <w:name w:val="cat-FIO grp-7 rplc-56"/>
    <w:basedOn w:val="DefaultParagraphFont"/>
  </w:style>
  <w:style w:type="character" w:customStyle="1" w:styleId="cat-Addressgrp-1rplc-57">
    <w:name w:val="cat-Address grp-1 rplc-5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glossaryDocument" Target="glossary/document.xml" /><Relationship Id="rId6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280FC-6212-42DF-9936-0A8F44DA130C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