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999F" w14:textId="77777777" w:rsidR="006C3424" w:rsidRPr="006C3424" w:rsidRDefault="0008251E" w:rsidP="006C342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РЕШЕНИЕ</w:t>
      </w:r>
    </w:p>
    <w:p w14:paraId="524A3989" w14:textId="77777777" w:rsidR="006C3424" w:rsidRPr="006C3424" w:rsidRDefault="0008251E" w:rsidP="006C342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Именем Российской Федерации</w:t>
      </w:r>
    </w:p>
    <w:p w14:paraId="048E0F45" w14:textId="77777777" w:rsidR="006C3424" w:rsidRPr="006C3424" w:rsidRDefault="0008251E" w:rsidP="006C342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EC7D04" w14:textId="77777777" w:rsidR="006C3424" w:rsidRPr="006C3424" w:rsidRDefault="0008251E" w:rsidP="006C3424">
      <w:pPr>
        <w:widowControl w:val="0"/>
        <w:tabs>
          <w:tab w:val="left" w:pos="7700"/>
          <w:tab w:val="right" w:pos="9355"/>
        </w:tabs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11 января 2019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ab/>
        <w:t>г. Москва</w:t>
      </w:r>
    </w:p>
    <w:p w14:paraId="0384F014" w14:textId="77777777" w:rsidR="006C3424" w:rsidRPr="006C3424" w:rsidRDefault="0008251E" w:rsidP="006C342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DFAD8C7" w14:textId="77777777" w:rsidR="006C3424" w:rsidRPr="006C3424" w:rsidRDefault="0008251E" w:rsidP="006C342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Зюзинский районный суд г. Москвы в составе председательствующего судьи Винокуровой Е.В., при секретаре Базановой М.В.,  </w:t>
      </w:r>
    </w:p>
    <w:p w14:paraId="3B5B15E5" w14:textId="77777777" w:rsidR="006C3424" w:rsidRDefault="0008251E" w:rsidP="006C342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едании гражданское дело № 2-255/2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019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по иску ПАО «Сбербанк России» в лице филиала – Московского банка ПАО «Сбербанк» 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Тихоновой Елене Юрьевне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 о взыскании задолженности по международной банковской карте, </w:t>
      </w:r>
    </w:p>
    <w:p w14:paraId="3063D699" w14:textId="77777777" w:rsidR="006C3424" w:rsidRPr="006C3424" w:rsidRDefault="0008251E" w:rsidP="006C342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2C6E59" w14:textId="77777777" w:rsidR="006C3424" w:rsidRDefault="0008251E" w:rsidP="006C342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УСТАНОВИЛ:</w:t>
      </w:r>
    </w:p>
    <w:p w14:paraId="2091F9BE" w14:textId="77777777" w:rsidR="00581FA3" w:rsidRPr="006C3424" w:rsidRDefault="0008251E" w:rsidP="006C3424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B26A45A" w14:textId="77777777" w:rsidR="003518EA" w:rsidRDefault="0008251E" w:rsidP="006C34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hAnsi="Times New Roman"/>
          <w:sz w:val="24"/>
          <w:szCs w:val="24"/>
        </w:rPr>
        <w:t xml:space="preserve">Истец 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ПАО «Сбербанк России» в лице филиала – Московского банка ПАО «Сб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ербанк» обратился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суд с иском к Тихоновой Е.Ю.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 о взыскании задолженности по международной банков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ской карте в размере 161 334, 23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руб., расходов по уплате 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оспошлины  в размере 2 213, 34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руб. Требования 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отивированы тем, что 3 апреля 2013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сторонами 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заключен договор  выпуске и обслуживании международной карты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КАРТА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отражения операций, проводимых с использованием  банковской карты в соответствии с заключенным договором. Во исполнение заключе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нного договора 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ответчику была выдана международ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ная б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анковская карта, а также открыт счет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отражения операций, проводимых с использованием банковской карты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15 марта 2014 года банк заключил с Тихоновой Е.Ю. договор на банковское обслуживание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который включает в себя  Условия  банковского обслуживани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я физических лиц ПАО Сбербанк и приложения, в том числе приложение №» 1- Условия выпуска и обслуживания дебетовой  карты ПАО Сбербанк. 9 апреля 2013 года  в дополнительном офисе банка  ответчиком был осуществлен перевод денежных средств  со счета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ты  в размере 765 003, 05 руб. на счет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являющийся расчетным счетом ран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 заключенного между сторонами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кредитного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ДАТА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года. В результате указанных действий задолженность по договору была погашена. В дату погашения задолженности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кредитному договору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ДАТА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из-за некорректной работы автоматизированной системы  доступный лимит по карте  клиента  не был уменьшен  на сумму списания, а именно на 765 003, 05 руб., при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этом денежные средства в счет погашения задолженности были успешно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переведены.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последующем при проведении расходных операций  банковской карты на суммы, которые превысили  остат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ок собственных денежных средств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банк произвел кредитование (неразрешенный овердрафт), т.е. должник в части ему недостающей для оплаты операци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й воспользовался  денежными средствами банка. По результатам служебного расследования 1 ноября 2013 года  расчетно-кассовым центром банка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лимит по карте был уме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ньшен на  сумму 765 003, 05 руб.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результате перерасхода по карте с 9 апреля 2013 года по 1 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оября 2013 года  по счету карты  возник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ла  сверхлимитная задолженность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на которую начислены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проценты. Процентная ставка по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неразрешенному овердрафту составляет 40%. По состоянию на 2 декабря 2016 года  образовалась просроченная задолженность  в виде нераз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решенного овердрафта  в общей сумме  161 334, 23 руб., из которых  просроченный основной долг – 72 114 руб., просроченные проценты – 89 220, 23 руб.</w:t>
      </w:r>
    </w:p>
    <w:p w14:paraId="347BC3C3" w14:textId="77777777" w:rsidR="003518EA" w:rsidRDefault="0008251E" w:rsidP="006C34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Истец в судебное заседание не явился, о дате, времени и месте рассмотрения дела извещен. В исковом заявлени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 содержится ходатайство о рассмотрении дела  в его отсутствие.</w:t>
      </w:r>
    </w:p>
    <w:p w14:paraId="0B11CE5F" w14:textId="77777777" w:rsidR="006C3424" w:rsidRDefault="0008251E" w:rsidP="006C34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Ответчик в судебное заседание не явилась, извещена.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Повестка получена ответчиком лично. В адрес суда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поступили письменные возражения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из которых следует, что отве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тчик не согласна 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иск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овыми тр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ебованиями, заявляет о пропуске банком срока исковой давности.</w:t>
      </w:r>
    </w:p>
    <w:p w14:paraId="4526C906" w14:textId="77777777" w:rsidR="00581FA3" w:rsidRPr="006C3424" w:rsidRDefault="0008251E" w:rsidP="006C34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Судом постановлено о рассмотрении дела в отсутствие сторон, по имеющимся в деле доказательствам.</w:t>
      </w:r>
    </w:p>
    <w:p w14:paraId="7BFAB757" w14:textId="77777777" w:rsidR="006C3424" w:rsidRPr="006C3424" w:rsidRDefault="0008251E" w:rsidP="006C34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3424">
        <w:rPr>
          <w:rFonts w:ascii="Times New Roman" w:hAnsi="Times New Roman"/>
          <w:sz w:val="24"/>
          <w:szCs w:val="24"/>
        </w:rPr>
        <w:tab/>
        <w:t>Суд, исследовав письменные доказательства по делу, приходит к следующим выводам.</w:t>
      </w:r>
    </w:p>
    <w:p w14:paraId="5C588A20" w14:textId="77777777" w:rsidR="006C3424" w:rsidRPr="006C3424" w:rsidRDefault="0008251E" w:rsidP="006C3424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В соответствии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со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сутствии таких условий и требований - в соответствии с обычаями делового оборота или иными о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бычно предъявляемыми требованиями.</w:t>
      </w:r>
    </w:p>
    <w:p w14:paraId="4BB7E1D7" w14:textId="77777777" w:rsidR="006C3424" w:rsidRPr="006C3424" w:rsidRDefault="0008251E" w:rsidP="006C3424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685FC461" w14:textId="77777777" w:rsidR="00573403" w:rsidRPr="0080658D" w:rsidRDefault="0008251E" w:rsidP="00806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3424">
        <w:rPr>
          <w:rFonts w:ascii="Times New Roman" w:hAnsi="Times New Roman"/>
          <w:sz w:val="24"/>
          <w:szCs w:val="24"/>
        </w:rPr>
        <w:tab/>
      </w:r>
      <w:r w:rsidRPr="0080658D">
        <w:rPr>
          <w:rFonts w:ascii="Times New Roman" w:hAnsi="Times New Roman"/>
          <w:sz w:val="24"/>
          <w:szCs w:val="24"/>
        </w:rPr>
        <w:t>В сил</w:t>
      </w:r>
      <w:r w:rsidRPr="0080658D">
        <w:rPr>
          <w:rFonts w:ascii="Times New Roman" w:hAnsi="Times New Roman"/>
          <w:sz w:val="24"/>
          <w:szCs w:val="24"/>
        </w:rPr>
        <w:t xml:space="preserve">у </w:t>
      </w:r>
      <w:hyperlink r:id="rId5" w:history="1">
        <w:r w:rsidRPr="0080658D">
          <w:rPr>
            <w:rFonts w:ascii="Times New Roman" w:hAnsi="Times New Roman"/>
            <w:sz w:val="24"/>
            <w:szCs w:val="24"/>
          </w:rPr>
          <w:t>ст. 845</w:t>
        </w:r>
      </w:hyperlink>
      <w:r w:rsidRPr="0080658D">
        <w:rPr>
          <w:rFonts w:ascii="Times New Roman" w:hAnsi="Times New Roman"/>
          <w:sz w:val="24"/>
          <w:szCs w:val="24"/>
        </w:rPr>
        <w:t xml:space="preserve"> ГК РФ по договору банковского счета банк обязуется принимать и зачислять поступающие </w:t>
      </w:r>
      <w:r w:rsidRPr="0080658D">
        <w:rPr>
          <w:rFonts w:ascii="Times New Roman" w:hAnsi="Times New Roman"/>
          <w:sz w:val="24"/>
          <w:szCs w:val="24"/>
        </w:rPr>
        <w:t>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3CFD9DD2" w14:textId="77777777" w:rsidR="0080658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0658D">
        <w:rPr>
          <w:rFonts w:ascii="Times New Roman" w:hAnsi="Times New Roman"/>
          <w:sz w:val="24"/>
          <w:szCs w:val="24"/>
          <w:lang w:eastAsia="ru-RU"/>
        </w:rPr>
        <w:t xml:space="preserve">В соответствии со </w:t>
      </w:r>
      <w:hyperlink r:id="rId6" w:history="1">
        <w:r w:rsidRPr="0080658D">
          <w:rPr>
            <w:rFonts w:ascii="Times New Roman" w:hAnsi="Times New Roman"/>
            <w:sz w:val="24"/>
            <w:szCs w:val="24"/>
            <w:lang w:eastAsia="ru-RU"/>
          </w:rPr>
          <w:t>ст. 850</w:t>
        </w:r>
      </w:hyperlink>
      <w:r w:rsidRPr="0080658D">
        <w:rPr>
          <w:rFonts w:ascii="Times New Roman" w:hAnsi="Times New Roman"/>
          <w:sz w:val="24"/>
          <w:szCs w:val="24"/>
          <w:lang w:eastAsia="ru-RU"/>
        </w:rPr>
        <w:t xml:space="preserve"> Гражданского кодекса Российской Федерации в случаях, когда в соответствии с договором банковского счета банк осуществляет платежи со счет</w:t>
      </w:r>
      <w:r w:rsidRPr="0080658D">
        <w:rPr>
          <w:rFonts w:ascii="Times New Roman" w:hAnsi="Times New Roman"/>
          <w:sz w:val="24"/>
          <w:szCs w:val="24"/>
          <w:lang w:eastAsia="ru-RU"/>
        </w:rPr>
        <w:t xml:space="preserve">а,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 Права и обязанности сторон, связанные с кредитованием счета, определяются правилами </w:t>
      </w:r>
      <w:r w:rsidRPr="0080658D">
        <w:rPr>
          <w:rFonts w:ascii="Times New Roman" w:hAnsi="Times New Roman"/>
          <w:sz w:val="24"/>
          <w:szCs w:val="24"/>
          <w:lang w:eastAsia="ru-RU"/>
        </w:rPr>
        <w:t xml:space="preserve">о займе и кредите </w:t>
      </w:r>
      <w:hyperlink r:id="rId7" w:history="1">
        <w:r w:rsidRPr="0080658D">
          <w:rPr>
            <w:rFonts w:ascii="Times New Roman" w:hAnsi="Times New Roman"/>
            <w:sz w:val="24"/>
            <w:szCs w:val="24"/>
            <w:lang w:eastAsia="ru-RU"/>
          </w:rPr>
          <w:t>(глава 42)</w:t>
        </w:r>
      </w:hyperlink>
      <w:r w:rsidRPr="0080658D">
        <w:rPr>
          <w:rFonts w:ascii="Times New Roman" w:hAnsi="Times New Roman"/>
          <w:sz w:val="24"/>
          <w:szCs w:val="24"/>
          <w:lang w:eastAsia="ru-RU"/>
        </w:rPr>
        <w:t>, если договором банковского счета не предусмотрено иное.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689C604C" w14:textId="77777777" w:rsidR="0080658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0658D">
        <w:rPr>
          <w:rFonts w:ascii="Times New Roman" w:hAnsi="Times New Roman"/>
          <w:sz w:val="24"/>
          <w:szCs w:val="24"/>
          <w:lang w:eastAsia="ru-RU"/>
        </w:rPr>
        <w:t>Согласно</w:t>
      </w:r>
      <w:r w:rsidRPr="0080658D">
        <w:rPr>
          <w:rFonts w:ascii="Times New Roman" w:hAnsi="Times New Roman"/>
          <w:sz w:val="24"/>
          <w:szCs w:val="24"/>
          <w:lang w:eastAsia="ru-RU"/>
        </w:rPr>
        <w:t xml:space="preserve"> </w:t>
      </w:r>
      <w:hyperlink r:id="rId8" w:history="1">
        <w:r w:rsidRPr="0080658D">
          <w:rPr>
            <w:rFonts w:ascii="Times New Roman" w:hAnsi="Times New Roman"/>
            <w:sz w:val="24"/>
            <w:szCs w:val="24"/>
            <w:lang w:eastAsia="ru-RU"/>
          </w:rPr>
          <w:t>п. 1 ст. 819</w:t>
        </w:r>
      </w:hyperlink>
      <w:r w:rsidRPr="0080658D">
        <w:rPr>
          <w:rFonts w:ascii="Times New Roman" w:hAnsi="Times New Roman"/>
          <w:sz w:val="24"/>
          <w:szCs w:val="24"/>
          <w:lang w:eastAsia="ru-RU"/>
        </w:rPr>
        <w:t xml:space="preserve"> Гражданского кодекса Российской Федерации по кредитному договору банк или иная кр</w:t>
      </w:r>
      <w:r w:rsidRPr="0080658D">
        <w:rPr>
          <w:rFonts w:ascii="Times New Roman" w:hAnsi="Times New Roman"/>
          <w:sz w:val="24"/>
          <w:szCs w:val="24"/>
          <w:lang w:eastAsia="ru-RU"/>
        </w:rPr>
        <w:t>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522729BC" w14:textId="77777777" w:rsidR="0080658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0658D">
        <w:rPr>
          <w:rFonts w:ascii="Times New Roman" w:hAnsi="Times New Roman"/>
          <w:sz w:val="24"/>
          <w:szCs w:val="24"/>
          <w:lang w:eastAsia="ru-RU"/>
        </w:rPr>
        <w:t>К отношениям по кредитному д</w:t>
      </w:r>
      <w:r w:rsidRPr="0080658D">
        <w:rPr>
          <w:rFonts w:ascii="Times New Roman" w:hAnsi="Times New Roman"/>
          <w:sz w:val="24"/>
          <w:szCs w:val="24"/>
          <w:lang w:eastAsia="ru-RU"/>
        </w:rPr>
        <w:t xml:space="preserve">оговору применяются правила, предусмотренные </w:t>
      </w:r>
      <w:hyperlink r:id="rId9" w:history="1">
        <w:r w:rsidRPr="0080658D">
          <w:rPr>
            <w:rFonts w:ascii="Times New Roman" w:hAnsi="Times New Roman"/>
            <w:sz w:val="24"/>
            <w:szCs w:val="24"/>
            <w:lang w:eastAsia="ru-RU"/>
          </w:rPr>
          <w:t>параграфом 1 главы 42</w:t>
        </w:r>
      </w:hyperlink>
      <w:r w:rsidRPr="0080658D">
        <w:rPr>
          <w:rFonts w:ascii="Times New Roman" w:hAnsi="Times New Roman"/>
          <w:sz w:val="24"/>
          <w:szCs w:val="24"/>
          <w:lang w:eastAsia="ru-RU"/>
        </w:rPr>
        <w:t xml:space="preserve"> Гражданского кодекса Российс</w:t>
      </w:r>
      <w:r w:rsidRPr="0080658D">
        <w:rPr>
          <w:rFonts w:ascii="Times New Roman" w:hAnsi="Times New Roman"/>
          <w:sz w:val="24"/>
          <w:szCs w:val="24"/>
          <w:lang w:eastAsia="ru-RU"/>
        </w:rPr>
        <w:t xml:space="preserve">кой Федерации (заем), если иное не предусмотрено правилами </w:t>
      </w:r>
      <w:hyperlink r:id="rId10" w:history="1">
        <w:r w:rsidRPr="0080658D">
          <w:rPr>
            <w:rFonts w:ascii="Times New Roman" w:hAnsi="Times New Roman"/>
            <w:sz w:val="24"/>
            <w:szCs w:val="24"/>
            <w:lang w:eastAsia="ru-RU"/>
          </w:rPr>
          <w:t>параграфа 2 главы 42</w:t>
        </w:r>
      </w:hyperlink>
      <w:r w:rsidRPr="0080658D">
        <w:rPr>
          <w:rFonts w:ascii="Times New Roman" w:hAnsi="Times New Roman"/>
          <w:sz w:val="24"/>
          <w:szCs w:val="24"/>
          <w:lang w:eastAsia="ru-RU"/>
        </w:rPr>
        <w:t xml:space="preserve"> Гражданского ко</w:t>
      </w:r>
      <w:r w:rsidRPr="0080658D">
        <w:rPr>
          <w:rFonts w:ascii="Times New Roman" w:hAnsi="Times New Roman"/>
          <w:sz w:val="24"/>
          <w:szCs w:val="24"/>
          <w:lang w:eastAsia="ru-RU"/>
        </w:rPr>
        <w:t>декса Российской Федерации (кредит) и не вытекает из существа кредитного договора.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4379013D" w14:textId="77777777" w:rsidR="0080658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hyperlink r:id="rId11" w:history="1">
        <w:r>
          <w:rPr>
            <w:rFonts w:ascii="Times New Roman" w:hAnsi="Times New Roman"/>
            <w:sz w:val="24"/>
            <w:szCs w:val="24"/>
            <w:lang w:eastAsia="ru-RU"/>
          </w:rPr>
          <w:t>Пунктом</w:t>
        </w:r>
        <w:r w:rsidRPr="0080658D">
          <w:rPr>
            <w:rFonts w:ascii="Times New Roman" w:hAnsi="Times New Roman"/>
            <w:sz w:val="24"/>
            <w:szCs w:val="24"/>
            <w:lang w:eastAsia="ru-RU"/>
          </w:rPr>
          <w:t xml:space="preserve"> 1 ст</w:t>
        </w:r>
        <w:r w:rsidRPr="0080658D">
          <w:rPr>
            <w:rFonts w:ascii="Times New Roman" w:hAnsi="Times New Roman"/>
            <w:sz w:val="24"/>
            <w:szCs w:val="24"/>
            <w:lang w:eastAsia="ru-RU"/>
          </w:rPr>
          <w:t>. 810</w:t>
        </w:r>
      </w:hyperlink>
      <w:r w:rsidRPr="0080658D">
        <w:rPr>
          <w:rFonts w:ascii="Times New Roman" w:hAnsi="Times New Roman"/>
          <w:sz w:val="24"/>
          <w:szCs w:val="24"/>
          <w:lang w:eastAsia="ru-RU"/>
        </w:rPr>
        <w:t xml:space="preserve"> Гражданского кодекса Российской Федерации предусмотрено, что заемщик обязан возвратить займодавцу полученную сумму займа в срок и в порядке, которые предусмотрены договором займа.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1431693D" w14:textId="77777777" w:rsidR="0080658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0658D">
        <w:rPr>
          <w:rFonts w:ascii="Times New Roman" w:hAnsi="Times New Roman"/>
          <w:sz w:val="24"/>
          <w:szCs w:val="24"/>
          <w:lang w:eastAsia="ru-RU"/>
        </w:rPr>
        <w:t xml:space="preserve">В силу </w:t>
      </w:r>
      <w:hyperlink r:id="rId12" w:history="1">
        <w:r w:rsidRPr="0080658D">
          <w:rPr>
            <w:rFonts w:ascii="Times New Roman" w:hAnsi="Times New Roman"/>
            <w:sz w:val="24"/>
            <w:szCs w:val="24"/>
            <w:lang w:eastAsia="ru-RU"/>
          </w:rPr>
          <w:t>п. 2 ст. 811</w:t>
        </w:r>
      </w:hyperlink>
      <w:r w:rsidRPr="0080658D">
        <w:rPr>
          <w:rFonts w:ascii="Times New Roman" w:hAnsi="Times New Roman"/>
          <w:sz w:val="24"/>
          <w:szCs w:val="24"/>
          <w:lang w:eastAsia="ru-RU"/>
        </w:rPr>
        <w:t xml:space="preserve"> Гражданского кодекса Российской Федерации, если договором предусмотрено возвращение займа по частям, то при нарушении заемщиком срока, установл</w:t>
      </w:r>
      <w:r w:rsidRPr="0080658D">
        <w:rPr>
          <w:rFonts w:ascii="Times New Roman" w:hAnsi="Times New Roman"/>
          <w:sz w:val="24"/>
          <w:szCs w:val="24"/>
          <w:lang w:eastAsia="ru-RU"/>
        </w:rPr>
        <w:t>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469F081A" w14:textId="77777777" w:rsidR="0080658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судебном заседании установлено, что 3 апреля 2013 года Тихоновой Е.Ю. оформлено заявление в ПАО «</w:t>
      </w:r>
      <w:r>
        <w:rPr>
          <w:rFonts w:ascii="Times New Roman" w:hAnsi="Times New Roman"/>
          <w:sz w:val="24"/>
          <w:szCs w:val="24"/>
          <w:lang w:eastAsia="ru-RU"/>
        </w:rPr>
        <w:t xml:space="preserve">Сбербанк России» на получение международной дебетовой карты  Сбербанка  России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КАРТА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Указанное заявление (л.д. 6-7), в совокупности с Условиями выпуска и обслуживания дебетовой карты ПАО Сбербанк (л.д. 9-15), Условиями и тарифами Банка (л.д. 16-25),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Памяткой держателя кар ПАО Сбербанк (л.д. 26-28)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Условиями банковского обслуживания физических лиц ПАО Сбербанк (л.д. 52-59)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являются заключенным между Тихоновой Е.Ю. и ПАО Сбербанк России  договором о выпуске  и обслуживании  банковской карты.</w:t>
      </w:r>
    </w:p>
    <w:p w14:paraId="5E069719" w14:textId="77777777" w:rsidR="006964CB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отраж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ения операций по карте ответчику был открыт счет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который также является расчетным счетом по ранее заключенному между сторонами кредитному договору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ДАТА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года. </w:t>
      </w:r>
    </w:p>
    <w:p w14:paraId="3DDF8920" w14:textId="77777777" w:rsidR="00E510AD" w:rsidRPr="00E510A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3 апреля 2013 года ответчику выдана международная дебетовая карта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КАРТА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без пер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воначального взноса (л.д. 8)</w:t>
      </w:r>
    </w:p>
    <w:p w14:paraId="439C71CF" w14:textId="77777777" w:rsidR="00E510AD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9 апреля 2013 года Тихоновой Е.Ю. был осуществлен перевод денежных средств со счета карты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КАРТА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размере 765 003, 05 руб. на счет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в связи с чем задолженность по кредитному договору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ДАТА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 была погашена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(л.д. 29-30)</w:t>
      </w:r>
    </w:p>
    <w:p w14:paraId="63C6DC3A" w14:textId="77777777" w:rsidR="0080658D" w:rsidRPr="006C3424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6C3424">
        <w:rPr>
          <w:rFonts w:ascii="Times New Roman" w:hAnsi="Times New Roman"/>
          <w:sz w:val="24"/>
          <w:szCs w:val="24"/>
        </w:rPr>
        <w:lastRenderedPageBreak/>
        <w:t xml:space="preserve">Согласно ч.1 ст. 432 ГК РФ, </w:t>
      </w:r>
      <w:r w:rsidRPr="006C3424">
        <w:rPr>
          <w:rFonts w:ascii="Times New Roman" w:hAnsi="Times New Roman"/>
          <w:sz w:val="24"/>
          <w:szCs w:val="24"/>
          <w:lang w:eastAsia="ru-RU"/>
        </w:rPr>
        <w:t xml:space="preserve"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</w:t>
      </w:r>
    </w:p>
    <w:p w14:paraId="5EFB8897" w14:textId="77777777" w:rsidR="0080658D" w:rsidRPr="006C3424" w:rsidRDefault="0008251E" w:rsidP="008065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C3424">
        <w:rPr>
          <w:rFonts w:ascii="Times New Roman" w:hAnsi="Times New Roman"/>
          <w:sz w:val="24"/>
          <w:szCs w:val="24"/>
          <w:lang w:eastAsia="ru-RU"/>
        </w:rPr>
        <w:t>Существенными являются условия о предмете договора, услови</w:t>
      </w:r>
      <w:r w:rsidRPr="006C3424">
        <w:rPr>
          <w:rFonts w:ascii="Times New Roman" w:hAnsi="Times New Roman"/>
          <w:sz w:val="24"/>
          <w:szCs w:val="24"/>
          <w:lang w:eastAsia="ru-RU"/>
        </w:rPr>
        <w:t>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72B3FBCB" w14:textId="77777777" w:rsidR="0080658D" w:rsidRDefault="0008251E" w:rsidP="00806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C3424">
        <w:rPr>
          <w:rFonts w:ascii="Times New Roman" w:hAnsi="Times New Roman"/>
          <w:sz w:val="24"/>
          <w:szCs w:val="24"/>
        </w:rPr>
        <w:tab/>
      </w:r>
      <w:r w:rsidRPr="006C3424">
        <w:rPr>
          <w:rFonts w:ascii="Times New Roman" w:hAnsi="Times New Roman"/>
          <w:sz w:val="24"/>
          <w:szCs w:val="24"/>
          <w:lang w:eastAsia="ru-RU"/>
        </w:rPr>
        <w:t>Договор вступает в силу и станови</w:t>
      </w:r>
      <w:r w:rsidRPr="006C3424">
        <w:rPr>
          <w:rFonts w:ascii="Times New Roman" w:hAnsi="Times New Roman"/>
          <w:sz w:val="24"/>
          <w:szCs w:val="24"/>
          <w:lang w:eastAsia="ru-RU"/>
        </w:rPr>
        <w:t>тся обязательным для сторон с момента его заключения (ч.1 ст. 425 ГК РФ)</w:t>
      </w:r>
    </w:p>
    <w:p w14:paraId="7DCF8D02" w14:textId="77777777" w:rsidR="0080658D" w:rsidRDefault="0008251E" w:rsidP="00581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>Как следует из выписки по счету карты, лимит овердрафта по счету карты составляет 0</w:t>
      </w:r>
      <w:r>
        <w:rPr>
          <w:rFonts w:ascii="Times New Roman" w:hAnsi="Times New Roman"/>
          <w:sz w:val="24"/>
          <w:szCs w:val="24"/>
          <w:lang w:eastAsia="ru-RU"/>
        </w:rPr>
        <w:t>, 00</w:t>
      </w:r>
      <w:r>
        <w:rPr>
          <w:rFonts w:ascii="Times New Roman" w:hAnsi="Times New Roman"/>
          <w:sz w:val="24"/>
          <w:szCs w:val="24"/>
          <w:lang w:eastAsia="ru-RU"/>
        </w:rPr>
        <w:t xml:space="preserve"> руб.</w:t>
      </w:r>
    </w:p>
    <w:p w14:paraId="1E618615" w14:textId="77777777" w:rsidR="006A0F6E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 xml:space="preserve">Согласно разд. 5 Условий банковского обслуживания физических лиц ПАО «Сбербанк России», </w:t>
      </w:r>
      <w:r>
        <w:rPr>
          <w:rFonts w:ascii="Times New Roman" w:hAnsi="Times New Roman"/>
          <w:sz w:val="24"/>
          <w:szCs w:val="24"/>
          <w:lang w:eastAsia="ru-RU"/>
        </w:rPr>
        <w:t xml:space="preserve">овердрафт является </w:t>
      </w:r>
      <w:r>
        <w:rPr>
          <w:rFonts w:ascii="Times New Roman" w:hAnsi="Times New Roman"/>
          <w:sz w:val="24"/>
          <w:szCs w:val="24"/>
          <w:lang w:eastAsia="ru-RU"/>
        </w:rPr>
        <w:t xml:space="preserve"> формой кредитования клиента бан</w:t>
      </w:r>
      <w:r>
        <w:rPr>
          <w:rFonts w:ascii="Times New Roman" w:hAnsi="Times New Roman"/>
          <w:sz w:val="24"/>
          <w:szCs w:val="24"/>
          <w:lang w:eastAsia="ru-RU"/>
        </w:rPr>
        <w:t>ком, позволяющей осуществить  расходные операции  по счету  карты  сверх</w:t>
      </w:r>
      <w:r>
        <w:rPr>
          <w:rFonts w:ascii="Times New Roman" w:hAnsi="Times New Roman"/>
          <w:sz w:val="24"/>
          <w:szCs w:val="24"/>
          <w:lang w:eastAsia="ru-RU"/>
        </w:rPr>
        <w:t xml:space="preserve"> сумм, имеющихся на счете карты (п. 5.1)</w:t>
      </w:r>
    </w:p>
    <w:p w14:paraId="1E618CF4" w14:textId="77777777" w:rsidR="00F17492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 образовании овердрафта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на счете карты  банк начисляет на сумму задолженности  проценты </w:t>
      </w:r>
      <w:r>
        <w:rPr>
          <w:rFonts w:ascii="Times New Roman" w:hAnsi="Times New Roman"/>
          <w:sz w:val="24"/>
          <w:szCs w:val="24"/>
          <w:lang w:eastAsia="ru-RU"/>
        </w:rPr>
        <w:t xml:space="preserve"> с даты отражения на ее ссудном счете  (не включая эту дату) до даты погашения задолженности (включительно) по ставке, установленной тарифами (п. 5.8)</w:t>
      </w:r>
    </w:p>
    <w:p w14:paraId="1F691E65" w14:textId="77777777" w:rsidR="006A0F6E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Клиент обязуется погашать задолженность  по счету карты  в пределах лимита овердрафта, а также  в размере</w:t>
      </w:r>
      <w:r>
        <w:rPr>
          <w:rFonts w:ascii="Times New Roman" w:hAnsi="Times New Roman"/>
          <w:sz w:val="24"/>
          <w:szCs w:val="24"/>
          <w:lang w:eastAsia="ru-RU"/>
        </w:rPr>
        <w:t>, превышающем  лимит овердрафта, в сумме, не менее указанной  в отчете  по счету карты, а также  платы, начисленные в соответствии с тарифами, не позднее 30 календарных дней с даты отчета по счету  карты (п. 5.9)</w:t>
      </w:r>
    </w:p>
    <w:p w14:paraId="1EBFD38C" w14:textId="77777777" w:rsidR="006A0F6E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случае возникновени</w:t>
      </w:r>
      <w:r>
        <w:rPr>
          <w:rFonts w:ascii="Times New Roman" w:hAnsi="Times New Roman"/>
          <w:sz w:val="24"/>
          <w:szCs w:val="24"/>
          <w:lang w:eastAsia="ru-RU"/>
        </w:rPr>
        <w:t>я  задолженности по сч</w:t>
      </w:r>
      <w:r>
        <w:rPr>
          <w:rFonts w:ascii="Times New Roman" w:hAnsi="Times New Roman"/>
          <w:sz w:val="24"/>
          <w:szCs w:val="24"/>
          <w:lang w:eastAsia="ru-RU"/>
        </w:rPr>
        <w:t>ету карты</w:t>
      </w:r>
      <w:r>
        <w:rPr>
          <w:rFonts w:ascii="Times New Roman" w:hAnsi="Times New Roman"/>
          <w:sz w:val="24"/>
          <w:szCs w:val="24"/>
          <w:lang w:eastAsia="ru-RU"/>
        </w:rPr>
        <w:t>, по которому  овердрафт не предусмот</w:t>
      </w:r>
      <w:r>
        <w:rPr>
          <w:rFonts w:ascii="Times New Roman" w:hAnsi="Times New Roman"/>
          <w:sz w:val="24"/>
          <w:szCs w:val="24"/>
          <w:lang w:eastAsia="ru-RU"/>
        </w:rPr>
        <w:t>рен,  клиент обязуется погасить</w:t>
      </w:r>
      <w:r>
        <w:rPr>
          <w:rFonts w:ascii="Times New Roman" w:hAnsi="Times New Roman"/>
          <w:sz w:val="24"/>
          <w:szCs w:val="24"/>
          <w:lang w:eastAsia="ru-RU"/>
        </w:rPr>
        <w:t xml:space="preserve"> сумму задолженности путем внес</w:t>
      </w:r>
      <w:r>
        <w:rPr>
          <w:rFonts w:ascii="Times New Roman" w:hAnsi="Times New Roman"/>
          <w:sz w:val="24"/>
          <w:szCs w:val="24"/>
          <w:lang w:eastAsia="ru-RU"/>
        </w:rPr>
        <w:t>ения  (зачисления) денежных сред</w:t>
      </w:r>
      <w:r>
        <w:rPr>
          <w:rFonts w:ascii="Times New Roman" w:hAnsi="Times New Roman"/>
          <w:sz w:val="24"/>
          <w:szCs w:val="24"/>
          <w:lang w:eastAsia="ru-RU"/>
        </w:rPr>
        <w:t xml:space="preserve">ств на счет карты не позднее 30-ти календарных дней с даты отчета </w:t>
      </w:r>
      <w:r>
        <w:rPr>
          <w:rFonts w:ascii="Times New Roman" w:hAnsi="Times New Roman"/>
          <w:sz w:val="24"/>
          <w:szCs w:val="24"/>
          <w:lang w:eastAsia="ru-RU"/>
        </w:rPr>
        <w:t xml:space="preserve"> по счету карты, в который включена операция, повл</w:t>
      </w:r>
      <w:r>
        <w:rPr>
          <w:rFonts w:ascii="Times New Roman" w:hAnsi="Times New Roman"/>
          <w:sz w:val="24"/>
          <w:szCs w:val="24"/>
          <w:lang w:eastAsia="ru-RU"/>
        </w:rPr>
        <w:t>екшая возникновение данной задолженности (п. 5.10)</w:t>
      </w:r>
    </w:p>
    <w:p w14:paraId="402366F2" w14:textId="77777777" w:rsidR="00FC0F8C" w:rsidRDefault="0008251E" w:rsidP="0080658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 несвоевременное  погашение задолженности  по счету карты взимается неустойка в соответствии с тарифами (п. 5.11)</w:t>
      </w:r>
    </w:p>
    <w:p w14:paraId="29311786" w14:textId="77777777" w:rsidR="00ED5D9B" w:rsidRDefault="0008251E" w:rsidP="00ED5D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Из содержания данных условий следует о возможности безусловного предоставления клиенту пр</w:t>
      </w:r>
      <w:r>
        <w:rPr>
          <w:rFonts w:ascii="Times New Roman" w:hAnsi="Times New Roman"/>
          <w:sz w:val="24"/>
          <w:szCs w:val="24"/>
          <w:lang w:eastAsia="ru-RU"/>
        </w:rPr>
        <w:t>и оформлении договора карты кредита в форме овердрафта, поскольку отсутствует оговорка о возможности овердрафта только в том случае, если он предусмотрен договором на получение карты. В этой связи, несмотря на отсутствие в договоре условия об овердрафте, з</w:t>
      </w:r>
      <w:r>
        <w:rPr>
          <w:rFonts w:ascii="Times New Roman" w:hAnsi="Times New Roman"/>
          <w:sz w:val="24"/>
          <w:szCs w:val="24"/>
          <w:lang w:eastAsia="ru-RU"/>
        </w:rPr>
        <w:t xml:space="preserve">аявления клиента на овердрафт, индивидуальных условий предоставления кредита, при том, что клиент ознакомлен с общими Условиями 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использования банковских карт Сбербанка, заявление на получение карты является договором присоединения (</w:t>
      </w:r>
      <w:hyperlink r:id="rId13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428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Российской Федерации), следует о согласованности данного условия между сторонами, поскольк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у клиент Банка, как присоединившаяся сторона не потребовала ни расторжения, ни изменения договора, не считая договор противоречащим закону, нарушающим его права, не указывала и не указывает на то, что при заключении договора на выпуск карты существенно зат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руднялась в понимании отдельных условий договора. В силу же </w:t>
      </w:r>
      <w:hyperlink r:id="rId14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846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ской Федерации при заключении договора клиенту открывается счет в банке на условиях</w:t>
      </w:r>
      <w:r>
        <w:rPr>
          <w:rFonts w:ascii="Times New Roman" w:hAnsi="Times New Roman"/>
          <w:sz w:val="24"/>
          <w:szCs w:val="24"/>
          <w:lang w:eastAsia="ru-RU"/>
        </w:rPr>
        <w:t xml:space="preserve"> согласованными сторонами. </w:t>
      </w:r>
    </w:p>
    <w:p w14:paraId="5B603FB4" w14:textId="77777777" w:rsidR="00ED5D9B" w:rsidRDefault="0008251E" w:rsidP="00ED5D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 проставления своей подписи в заявлении на получение карты, в котором указывается, что с условиями использования карт, памяткой держателя и тар</w:t>
      </w:r>
      <w:r>
        <w:rPr>
          <w:rFonts w:ascii="Times New Roman" w:hAnsi="Times New Roman"/>
          <w:sz w:val="24"/>
          <w:szCs w:val="24"/>
          <w:lang w:eastAsia="ru-RU"/>
        </w:rPr>
        <w:t>ифами Сбербанка России ознакомлена, согласна и обязуется их исполнять, Тихонова Е.Ю. должна был изучить содержание данных документов, ознакомиться с содержанием прав и обязанностей, содержащихся в них, т.е. действовать с предельной внимательностью и осмотр</w:t>
      </w:r>
      <w:r>
        <w:rPr>
          <w:rFonts w:ascii="Times New Roman" w:hAnsi="Times New Roman"/>
          <w:sz w:val="24"/>
          <w:szCs w:val="24"/>
          <w:lang w:eastAsia="ru-RU"/>
        </w:rPr>
        <w:t xml:space="preserve">ительностью при осуществлении своих прав, которым корреспондируют обязанности. Поэтому наличие ее подписи в заявлении на получение международной дебетовой карты Сбербанка </w:t>
      </w:r>
      <w:r w:rsidRPr="006C3424">
        <w:rPr>
          <w:rFonts w:ascii="Times New Roman" w:eastAsia="Times New Roman" w:hAnsi="Times New Roman"/>
          <w:sz w:val="24"/>
          <w:szCs w:val="24"/>
          <w:lang w:val="en-US" w:eastAsia="ru-RU"/>
        </w:rPr>
        <w:t>Visa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Electron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свидетельствует о том, что она была согласна с условиями указанных доку</w:t>
      </w:r>
      <w:r>
        <w:rPr>
          <w:rFonts w:ascii="Times New Roman" w:hAnsi="Times New Roman"/>
          <w:sz w:val="24"/>
          <w:szCs w:val="24"/>
          <w:lang w:eastAsia="ru-RU"/>
        </w:rPr>
        <w:t>ментов, и их содержание соответствует ее воле.</w:t>
      </w:r>
    </w:p>
    <w:p w14:paraId="1678B5EF" w14:textId="77777777" w:rsidR="00ED5D9B" w:rsidRDefault="0008251E" w:rsidP="00ED5D9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Согласно п. 4.14 Условий выпуска и обслуживания дебетовой карты ПАО Сбербанк, в случае если лимит овердрафта по карте не установлен, но сумма операций по карте превышает остаток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собственных средств клиента, в </w:t>
      </w:r>
      <w:r>
        <w:rPr>
          <w:rFonts w:ascii="Times New Roman" w:hAnsi="Times New Roman"/>
          <w:sz w:val="24"/>
          <w:szCs w:val="24"/>
          <w:lang w:eastAsia="ru-RU"/>
        </w:rPr>
        <w:t>силу  технологических особенностей проведения операций по карте , курсовых  разниц и других, не зависящих от банка обстоятельств, банк предоставляет  клиенту кредит  в размере , необходимом для отражения расходной операции  по счету карты в полном объеме.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2FE847A0" w14:textId="77777777" w:rsidR="003715F5" w:rsidRDefault="0008251E" w:rsidP="003715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Расходные операции с использованием банковской карты с допущенным овердрафтом по делу не оспариваются, что</w:t>
      </w:r>
      <w:r>
        <w:rPr>
          <w:rFonts w:ascii="Times New Roman" w:hAnsi="Times New Roman"/>
          <w:sz w:val="24"/>
          <w:szCs w:val="24"/>
          <w:lang w:eastAsia="ru-RU"/>
        </w:rPr>
        <w:t xml:space="preserve"> следует также и из представленных возражений ответчика, и </w:t>
      </w:r>
      <w:r>
        <w:rPr>
          <w:rFonts w:ascii="Times New Roman" w:hAnsi="Times New Roman"/>
          <w:sz w:val="24"/>
          <w:szCs w:val="24"/>
          <w:lang w:eastAsia="ru-RU"/>
        </w:rPr>
        <w:t xml:space="preserve"> свидетельствует </w:t>
      </w:r>
      <w:r>
        <w:rPr>
          <w:rFonts w:ascii="Times New Roman" w:hAnsi="Times New Roman"/>
          <w:sz w:val="24"/>
          <w:szCs w:val="24"/>
          <w:lang w:eastAsia="ru-RU"/>
        </w:rPr>
        <w:t>о том, что ответчик не отказалась от не принадлежащих ей</w:t>
      </w:r>
      <w:r>
        <w:rPr>
          <w:rFonts w:ascii="Times New Roman" w:hAnsi="Times New Roman"/>
          <w:sz w:val="24"/>
          <w:szCs w:val="24"/>
          <w:lang w:eastAsia="ru-RU"/>
        </w:rPr>
        <w:t xml:space="preserve"> де</w:t>
      </w:r>
      <w:r>
        <w:rPr>
          <w:rFonts w:ascii="Times New Roman" w:hAnsi="Times New Roman"/>
          <w:sz w:val="24"/>
          <w:szCs w:val="24"/>
          <w:lang w:eastAsia="ru-RU"/>
        </w:rPr>
        <w:t>нежных средств</w:t>
      </w:r>
      <w:r>
        <w:rPr>
          <w:rFonts w:ascii="Times New Roman" w:hAnsi="Times New Roman"/>
          <w:sz w:val="24"/>
          <w:szCs w:val="24"/>
          <w:lang w:eastAsia="ru-RU"/>
        </w:rPr>
        <w:t>, а воспользовалась</w:t>
      </w:r>
      <w:r>
        <w:rPr>
          <w:rFonts w:ascii="Times New Roman" w:hAnsi="Times New Roman"/>
          <w:sz w:val="24"/>
          <w:szCs w:val="24"/>
          <w:lang w:eastAsia="ru-RU"/>
        </w:rPr>
        <w:t xml:space="preserve"> ставшими</w:t>
      </w:r>
      <w:r>
        <w:rPr>
          <w:rFonts w:ascii="Times New Roman" w:hAnsi="Times New Roman"/>
          <w:sz w:val="24"/>
          <w:szCs w:val="24"/>
          <w:lang w:eastAsia="ru-RU"/>
        </w:rPr>
        <w:t>ся</w:t>
      </w:r>
      <w:r>
        <w:rPr>
          <w:rFonts w:ascii="Times New Roman" w:hAnsi="Times New Roman"/>
          <w:sz w:val="24"/>
          <w:szCs w:val="24"/>
          <w:lang w:eastAsia="ru-RU"/>
        </w:rPr>
        <w:t xml:space="preserve"> допустимыми сверхлимитными средствами, не возвратил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>
        <w:rPr>
          <w:rFonts w:ascii="Times New Roman" w:hAnsi="Times New Roman"/>
          <w:sz w:val="24"/>
          <w:szCs w:val="24"/>
          <w:lang w:eastAsia="ru-RU"/>
        </w:rPr>
        <w:t xml:space="preserve"> их, в связи с чем законно требование Банка о взыскании данных денежных средств, а также процентов за пользование ими в соответствии с 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требованиям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hyperlink r:id="rId15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810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</w:t>
      </w:r>
      <w:r>
        <w:rPr>
          <w:rFonts w:ascii="Times New Roman" w:hAnsi="Times New Roman"/>
          <w:sz w:val="24"/>
          <w:szCs w:val="24"/>
          <w:lang w:eastAsia="ru-RU"/>
        </w:rPr>
        <w:t xml:space="preserve"> кодекса Российской Федерации, </w:t>
      </w:r>
      <w:r>
        <w:rPr>
          <w:rFonts w:ascii="Times New Roman" w:hAnsi="Times New Roman"/>
          <w:sz w:val="24"/>
          <w:szCs w:val="24"/>
          <w:lang w:eastAsia="ru-RU"/>
        </w:rPr>
        <w:t>Т</w:t>
      </w:r>
      <w:r>
        <w:rPr>
          <w:rFonts w:ascii="Times New Roman" w:hAnsi="Times New Roman"/>
          <w:sz w:val="24"/>
          <w:szCs w:val="24"/>
          <w:lang w:eastAsia="ru-RU"/>
        </w:rPr>
        <w:t>арифами банка</w:t>
      </w:r>
      <w:r>
        <w:rPr>
          <w:rFonts w:ascii="Times New Roman" w:hAnsi="Times New Roman"/>
          <w:sz w:val="24"/>
          <w:szCs w:val="24"/>
          <w:lang w:eastAsia="ru-RU"/>
        </w:rPr>
        <w:t xml:space="preserve"> на выпуск и обслуживание банковских карт, которым</w:t>
      </w:r>
      <w:r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пре</w:t>
      </w:r>
      <w:r>
        <w:rPr>
          <w:rFonts w:ascii="Times New Roman" w:hAnsi="Times New Roman"/>
          <w:sz w:val="24"/>
          <w:szCs w:val="24"/>
          <w:lang w:eastAsia="ru-RU"/>
        </w:rPr>
        <w:t>дусмотрено, что плата за неразрешенный овердрафт составляет 40% годовых.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7D1088A2" w14:textId="77777777" w:rsidR="0080658D" w:rsidRDefault="0008251E" w:rsidP="003715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 таких обстоятельствах, </w:t>
      </w:r>
      <w:r>
        <w:rPr>
          <w:rFonts w:ascii="Times New Roman" w:hAnsi="Times New Roman"/>
          <w:sz w:val="24"/>
          <w:szCs w:val="24"/>
          <w:lang w:eastAsia="ru-RU"/>
        </w:rPr>
        <w:t xml:space="preserve">суд полагает установленным </w:t>
      </w:r>
      <w:r>
        <w:rPr>
          <w:rFonts w:ascii="Times New Roman" w:hAnsi="Times New Roman"/>
          <w:sz w:val="24"/>
          <w:szCs w:val="24"/>
          <w:lang w:eastAsia="ru-RU"/>
        </w:rPr>
        <w:t xml:space="preserve">как </w:t>
      </w:r>
      <w:r>
        <w:rPr>
          <w:rFonts w:ascii="Times New Roman" w:hAnsi="Times New Roman"/>
          <w:sz w:val="24"/>
          <w:szCs w:val="24"/>
          <w:lang w:eastAsia="ru-RU"/>
        </w:rPr>
        <w:t xml:space="preserve">факт </w:t>
      </w:r>
      <w:r>
        <w:rPr>
          <w:rFonts w:ascii="Times New Roman" w:hAnsi="Times New Roman"/>
          <w:sz w:val="24"/>
          <w:szCs w:val="24"/>
          <w:lang w:eastAsia="ru-RU"/>
        </w:rPr>
        <w:t>предоставления кредита, так и согласова</w:t>
      </w:r>
      <w:r>
        <w:rPr>
          <w:rFonts w:ascii="Times New Roman" w:hAnsi="Times New Roman"/>
          <w:sz w:val="24"/>
          <w:szCs w:val="24"/>
          <w:lang w:eastAsia="ru-RU"/>
        </w:rPr>
        <w:t>ния условий его предоставления.</w:t>
      </w:r>
    </w:p>
    <w:p w14:paraId="7E56A1F0" w14:textId="77777777" w:rsidR="003715F5" w:rsidRDefault="0008251E" w:rsidP="003715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Вместе с тем, в письменных возражениях ответчико</w:t>
      </w:r>
      <w:r>
        <w:rPr>
          <w:rFonts w:ascii="Times New Roman" w:hAnsi="Times New Roman"/>
          <w:sz w:val="24"/>
          <w:szCs w:val="24"/>
          <w:lang w:eastAsia="ru-RU"/>
        </w:rPr>
        <w:t xml:space="preserve">м Тихоновой Е.Ю. заявлено о пропуске истцом срока на обращение в суд. </w:t>
      </w:r>
    </w:p>
    <w:p w14:paraId="5C8F7463" w14:textId="77777777" w:rsidR="003715F5" w:rsidRPr="00742B84" w:rsidRDefault="0008251E" w:rsidP="003715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соответствии со </w:t>
      </w:r>
      <w:hyperlink r:id="rId16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195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Российской Федерации исковой давностью признается срок для защиты права по иску лица, право которого нарушено.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0670F214" w14:textId="77777777" w:rsidR="003715F5" w:rsidRPr="00742B84" w:rsidRDefault="0008251E" w:rsidP="003715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соответствии со </w:t>
      </w:r>
      <w:hyperlink r:id="rId17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199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Российской Федерации требование о защите нарушенного права принимается к рассмотрению судом независимо от истечения срока исковой давности. Исковая давность применяется 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судом только по заявлению стороны в споре, сделанному до вынесения судом решения. Истечение срока исковой давности, о применении которой заявлено стороной в споре, является основанием к вынесению судом решения об отказе в иске.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603A343" w14:textId="77777777" w:rsidR="00B23C93" w:rsidRPr="00742B84" w:rsidRDefault="0008251E" w:rsidP="00B23C9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Как неоднократно указывал К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онституционный Суд Российской Федерации в своих решениях, установление в законе общего срока исковой давности, т.е. срока для защиты интересов лица, право которого нарушено (</w:t>
      </w:r>
      <w:hyperlink r:id="rId18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статьи 195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</w:t>
      </w:r>
      <w:hyperlink r:id="rId19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196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анского кодекса Российской Федерации), последствий пропуска такого срока (</w:t>
      </w:r>
      <w:hyperlink r:id="rId20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статья 199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го кодекса Российской Федерации) обусловлено необходимостью обеспечить стабильность отношений участников гражданского оборота и не может рассматриваться как нарушающее какие-либо конституционные права (определения от 03.10.2006 </w:t>
      </w:r>
      <w:hyperlink r:id="rId21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N 439-О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от 18.12.2007 </w:t>
      </w:r>
      <w:hyperlink r:id="rId22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N 890-О-О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от 20.11.2008 </w:t>
      </w:r>
      <w:hyperlink r:id="rId23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N 823-О-О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от 25.02.2010 </w:t>
      </w:r>
      <w:hyperlink r:id="rId24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N 266-О-О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от 25.02.2010 </w:t>
      </w:r>
      <w:hyperlink r:id="rId25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N 267-О-О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др.) </w:t>
      </w:r>
    </w:p>
    <w:p w14:paraId="449B0B72" w14:textId="77777777" w:rsidR="00B23C93" w:rsidRDefault="0008251E" w:rsidP="00B23C9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Из текста искового заявления следует, что</w:t>
      </w:r>
      <w:r>
        <w:rPr>
          <w:rFonts w:ascii="Times New Roman" w:hAnsi="Times New Roman"/>
          <w:sz w:val="24"/>
          <w:szCs w:val="24"/>
          <w:lang w:eastAsia="ru-RU"/>
        </w:rPr>
        <w:t xml:space="preserve"> о допущенной оши</w:t>
      </w:r>
      <w:r>
        <w:rPr>
          <w:rFonts w:ascii="Times New Roman" w:hAnsi="Times New Roman"/>
          <w:sz w:val="24"/>
          <w:szCs w:val="24"/>
          <w:lang w:eastAsia="ru-RU"/>
        </w:rPr>
        <w:t>бке по неуменьшению доступного лимита по карте на 765 003, 05 руб. банку стало известно 9 апреля 2013 года</w:t>
      </w:r>
      <w:r>
        <w:rPr>
          <w:rFonts w:ascii="Times New Roman" w:hAnsi="Times New Roman"/>
          <w:sz w:val="24"/>
          <w:szCs w:val="24"/>
          <w:lang w:eastAsia="ru-RU"/>
        </w:rPr>
        <w:t>, частичное списание денежных средств со счета</w:t>
      </w:r>
      <w:r>
        <w:rPr>
          <w:rFonts w:ascii="Times New Roman" w:hAnsi="Times New Roman"/>
          <w:sz w:val="24"/>
          <w:szCs w:val="24"/>
          <w:lang w:eastAsia="ru-RU"/>
        </w:rPr>
        <w:t xml:space="preserve"> клиента в счет погашения задолженнос</w:t>
      </w:r>
      <w:r>
        <w:rPr>
          <w:rFonts w:ascii="Times New Roman" w:hAnsi="Times New Roman"/>
          <w:sz w:val="24"/>
          <w:szCs w:val="24"/>
          <w:lang w:eastAsia="ru-RU"/>
        </w:rPr>
        <w:t>ти производилось до 4 ноября 2013 года, что следует из представленной суду выписки по счету карты</w:t>
      </w:r>
      <w:r>
        <w:rPr>
          <w:rFonts w:ascii="Times New Roman" w:hAnsi="Times New Roman"/>
          <w:sz w:val="24"/>
          <w:szCs w:val="24"/>
          <w:lang w:eastAsia="ru-RU"/>
        </w:rPr>
        <w:t>, которых было недостаточно для</w:t>
      </w:r>
      <w:r>
        <w:rPr>
          <w:rFonts w:ascii="Times New Roman" w:hAnsi="Times New Roman"/>
          <w:sz w:val="24"/>
          <w:szCs w:val="24"/>
          <w:lang w:eastAsia="ru-RU"/>
        </w:rPr>
        <w:t xml:space="preserve"> погашения всей суммы перерасходованных денежных средств</w:t>
      </w:r>
      <w:r>
        <w:rPr>
          <w:rFonts w:ascii="Times New Roman" w:hAnsi="Times New Roman"/>
          <w:sz w:val="24"/>
          <w:szCs w:val="24"/>
          <w:lang w:eastAsia="ru-RU"/>
        </w:rPr>
        <w:t>. В этой связи ср</w:t>
      </w:r>
      <w:r>
        <w:rPr>
          <w:rFonts w:ascii="Times New Roman" w:hAnsi="Times New Roman"/>
          <w:sz w:val="24"/>
          <w:szCs w:val="24"/>
          <w:lang w:eastAsia="ru-RU"/>
        </w:rPr>
        <w:t xml:space="preserve">ок исковой давности истек 4 ноября </w:t>
      </w:r>
      <w:r>
        <w:rPr>
          <w:rFonts w:ascii="Times New Roman" w:hAnsi="Times New Roman"/>
          <w:sz w:val="24"/>
          <w:szCs w:val="24"/>
          <w:lang w:eastAsia="ru-RU"/>
        </w:rPr>
        <w:t>2016</w:t>
      </w:r>
      <w:r>
        <w:rPr>
          <w:rFonts w:ascii="Times New Roman" w:hAnsi="Times New Roman"/>
          <w:sz w:val="24"/>
          <w:szCs w:val="24"/>
          <w:lang w:eastAsia="ru-RU"/>
        </w:rPr>
        <w:t xml:space="preserve"> года</w:t>
      </w:r>
      <w:r>
        <w:rPr>
          <w:rFonts w:ascii="Times New Roman" w:hAnsi="Times New Roman"/>
          <w:sz w:val="24"/>
          <w:szCs w:val="24"/>
          <w:lang w:eastAsia="ru-RU"/>
        </w:rPr>
        <w:t>, однако ис</w:t>
      </w:r>
      <w:r>
        <w:rPr>
          <w:rFonts w:ascii="Times New Roman" w:hAnsi="Times New Roman"/>
          <w:sz w:val="24"/>
          <w:szCs w:val="24"/>
          <w:lang w:eastAsia="ru-RU"/>
        </w:rPr>
        <w:t>тец впервые обратился</w:t>
      </w:r>
      <w:r>
        <w:rPr>
          <w:rFonts w:ascii="Times New Roman" w:hAnsi="Times New Roman"/>
          <w:sz w:val="24"/>
          <w:szCs w:val="24"/>
          <w:lang w:eastAsia="ru-RU"/>
        </w:rPr>
        <w:t xml:space="preserve"> в суд с иском 28 ноября 2018 года</w:t>
      </w:r>
      <w:r>
        <w:rPr>
          <w:rFonts w:ascii="Times New Roman" w:hAnsi="Times New Roman"/>
          <w:sz w:val="24"/>
          <w:szCs w:val="24"/>
          <w:lang w:eastAsia="ru-RU"/>
        </w:rPr>
        <w:t>, т.е. за пределами трехгодичного срока исковой давности.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0B12E08B" w14:textId="77777777" w:rsidR="0091015B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</w:t>
      </w:r>
      <w:hyperlink r:id="rId26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пункте 24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Постановления Пленума Верховного Суда Росс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ийской Федерации от 29.09.2015 №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43 "О некоторых вопросах, связанных с применением норм Гражданского кодекса Российской Федерации об исковой давности" разъяснено, что по смыслу </w:t>
      </w:r>
      <w:hyperlink r:id="rId27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пункта 1 статьи 200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Российской Федерации течение срока давности по иску, вытекающ</w:t>
      </w:r>
      <w:r>
        <w:rPr>
          <w:rFonts w:ascii="Times New Roman" w:hAnsi="Times New Roman"/>
          <w:sz w:val="24"/>
          <w:szCs w:val="24"/>
          <w:lang w:eastAsia="ru-RU"/>
        </w:rPr>
        <w:t>ему и</w:t>
      </w:r>
      <w:r>
        <w:rPr>
          <w:rFonts w:ascii="Times New Roman" w:hAnsi="Times New Roman"/>
          <w:sz w:val="24"/>
          <w:szCs w:val="24"/>
          <w:lang w:eastAsia="ru-RU"/>
        </w:rPr>
        <w:t xml:space="preserve">з нарушения одной стороной договора условия об оплате товара (работ, услуг) по частям, начинается в отношении каждой отдельной части. Срок давности по искам о просроченных повременных платежах (проценты за пользование заемными средствами, арендная плата и </w:t>
      </w:r>
      <w:r>
        <w:rPr>
          <w:rFonts w:ascii="Times New Roman" w:hAnsi="Times New Roman"/>
          <w:sz w:val="24"/>
          <w:szCs w:val="24"/>
          <w:lang w:eastAsia="ru-RU"/>
        </w:rPr>
        <w:t>т.п.) исчисляется отдельно по каждому просроченному платежу.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6E3CFCF3" w14:textId="77777777" w:rsidR="0091015B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На основании Условий использования международных карт Сбербанка России, в случае осуществления платежей со счета в пределах установленного по карте лимита, Банк считается предоставившим держател</w:t>
      </w:r>
      <w:r>
        <w:rPr>
          <w:rFonts w:ascii="Times New Roman" w:hAnsi="Times New Roman"/>
          <w:sz w:val="24"/>
          <w:szCs w:val="24"/>
          <w:lang w:eastAsia="ru-RU"/>
        </w:rPr>
        <w:t xml:space="preserve">ю кредит в форме "овердрафт". Задолженность держателя в пределах </w:t>
      </w:r>
      <w:r>
        <w:rPr>
          <w:rFonts w:ascii="Times New Roman" w:hAnsi="Times New Roman"/>
          <w:sz w:val="24"/>
          <w:szCs w:val="24"/>
          <w:lang w:eastAsia="ru-RU"/>
        </w:rPr>
        <w:lastRenderedPageBreak/>
        <w:t>лимита в сумме, не менее указанной в отчете, а также плата за овердрафт, начисленная в соответствии с Тарифами Банка, подлежит оплате не позднее 30-ти</w:t>
      </w:r>
      <w:r>
        <w:rPr>
          <w:rFonts w:ascii="Times New Roman" w:hAnsi="Times New Roman"/>
          <w:sz w:val="24"/>
          <w:szCs w:val="24"/>
          <w:lang w:eastAsia="ru-RU"/>
        </w:rPr>
        <w:t xml:space="preserve"> календарных дней с даты отчета (п. 5.9, </w:t>
      </w:r>
      <w:r>
        <w:rPr>
          <w:rFonts w:ascii="Times New Roman" w:hAnsi="Times New Roman"/>
          <w:sz w:val="24"/>
          <w:szCs w:val="24"/>
          <w:lang w:eastAsia="ru-RU"/>
        </w:rPr>
        <w:t xml:space="preserve">5.10) </w:t>
      </w:r>
    </w:p>
    <w:p w14:paraId="34C0E8EB" w14:textId="77777777" w:rsidR="0091015B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силу указанных Условий, отчет формируется Банком ежемесячно и </w:t>
      </w:r>
      <w:r>
        <w:rPr>
          <w:rFonts w:ascii="Times New Roman" w:hAnsi="Times New Roman"/>
          <w:sz w:val="24"/>
          <w:szCs w:val="24"/>
          <w:lang w:eastAsia="ru-RU"/>
        </w:rPr>
        <w:t xml:space="preserve">предоставляется держателю карты (п. 6.1) </w:t>
      </w:r>
    </w:p>
    <w:p w14:paraId="67B455E9" w14:textId="77777777" w:rsidR="0091015B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Учитывая неисполнение заемщиком креди</w:t>
      </w:r>
      <w:r>
        <w:rPr>
          <w:rFonts w:ascii="Times New Roman" w:hAnsi="Times New Roman"/>
          <w:sz w:val="24"/>
          <w:szCs w:val="24"/>
          <w:lang w:eastAsia="ru-RU"/>
        </w:rPr>
        <w:t>тного обязательства с 9 апреля 2013 года</w:t>
      </w:r>
      <w:r>
        <w:rPr>
          <w:rFonts w:ascii="Times New Roman" w:hAnsi="Times New Roman"/>
          <w:sz w:val="24"/>
          <w:szCs w:val="24"/>
          <w:lang w:eastAsia="ru-RU"/>
        </w:rPr>
        <w:t>, поскольку возврат задолженности по условиям Банка должен быть ос</w:t>
      </w:r>
      <w:r>
        <w:rPr>
          <w:rFonts w:ascii="Times New Roman" w:hAnsi="Times New Roman"/>
          <w:sz w:val="24"/>
          <w:szCs w:val="24"/>
          <w:lang w:eastAsia="ru-RU"/>
        </w:rPr>
        <w:t>уществлен не позднее 30 дней с даты с да</w:t>
      </w:r>
      <w:r>
        <w:rPr>
          <w:rFonts w:ascii="Times New Roman" w:hAnsi="Times New Roman"/>
          <w:sz w:val="24"/>
          <w:szCs w:val="24"/>
          <w:lang w:eastAsia="ru-RU"/>
        </w:rPr>
        <w:t>ты отчета по счету, суд полагает, что истцом пропущен трехлетний срок</w:t>
      </w:r>
      <w:r>
        <w:rPr>
          <w:rFonts w:ascii="Times New Roman" w:hAnsi="Times New Roman"/>
          <w:sz w:val="24"/>
          <w:szCs w:val="24"/>
          <w:lang w:eastAsia="ru-RU"/>
        </w:rPr>
        <w:t xml:space="preserve"> исковой давности для обращения в суд с настоящим иском.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0C50C3FC" w14:textId="77777777" w:rsidR="0091015B" w:rsidRPr="00742B84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Согласно </w:t>
      </w:r>
      <w:hyperlink r:id="rId28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абзацу 5 пункта 3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Обзора судебной практики по гражданским делам, связанным с разрешением споров об исполнении кредитных обязательств, утвержденного Президиумом Верховного Суда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Российской Федерации 22.05.2013, при исчислении сроков исковой давности по требованиям о взыскании просроченной задолженности по кредитному обязательству, предусматривающему исполнение в виде периодических платежей, суды применяют общий срок исковой давно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сти (</w:t>
      </w:r>
      <w:hyperlink r:id="rId29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статья 196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Российской Федерации), который подлежит исчислению отдельно по к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аждому платежу со дня, когда кредитор узнал или должен был узнать о нарушении своего права.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117B4316" w14:textId="77777777" w:rsidR="0080658D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Поскольку по рассматриваемому договору предусмотрено исполнение заемщиком своих обязательств по частям не позднее 30 календарных дней с даты отчета по счету, что с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огласуется с положениями </w:t>
      </w:r>
      <w:hyperlink r:id="rId30" w:history="1">
        <w:r w:rsidRPr="00742B84">
          <w:rPr>
            <w:rFonts w:ascii="Times New Roman" w:hAnsi="Times New Roman"/>
            <w:color w:val="000000"/>
            <w:sz w:val="24"/>
            <w:szCs w:val="24"/>
            <w:lang w:eastAsia="ru-RU"/>
          </w:rPr>
          <w:t>ст. 811</w:t>
        </w:r>
      </w:hyperlink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Гражданского кодекса Российской Федерации, обязательство не по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дпадает под категорию обязательств, срок исполнения которых не определен либо определен моментом востребования, несмотря на то, что сторонами не согласован график платежей с указанием конкретных сумм по каждому месяцу, но с учетом того, что по условиям дог</w:t>
      </w:r>
      <w:r w:rsidRPr="00742B84">
        <w:rPr>
          <w:rFonts w:ascii="Times New Roman" w:hAnsi="Times New Roman"/>
          <w:color w:val="000000"/>
          <w:sz w:val="24"/>
          <w:szCs w:val="24"/>
          <w:lang w:eastAsia="ru-RU"/>
        </w:rPr>
        <w:t>овора обязанность заемщика осуществлять</w:t>
      </w:r>
      <w:r>
        <w:rPr>
          <w:rFonts w:ascii="Times New Roman" w:hAnsi="Times New Roman"/>
          <w:sz w:val="24"/>
          <w:szCs w:val="24"/>
          <w:lang w:eastAsia="ru-RU"/>
        </w:rPr>
        <w:t xml:space="preserve"> возврат кредита предусмотрен вышеуказанным способом.</w:t>
      </w:r>
    </w:p>
    <w:p w14:paraId="40C960BC" w14:textId="77777777" w:rsidR="0091015B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 изложенных выше обстоятельствах, </w:t>
      </w:r>
      <w:r>
        <w:rPr>
          <w:rFonts w:ascii="Times New Roman" w:hAnsi="Times New Roman"/>
          <w:sz w:val="24"/>
          <w:szCs w:val="24"/>
          <w:lang w:eastAsia="ru-RU"/>
        </w:rPr>
        <w:t>суд приходит к выводу об отказе ПАО «Сбербанк России» в исковых требованиях к Тихоновой Е.Ю.</w:t>
      </w:r>
    </w:p>
    <w:p w14:paraId="0890D98D" w14:textId="77777777" w:rsidR="00581FA3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На основании изложенного, руковод</w:t>
      </w:r>
      <w:r>
        <w:rPr>
          <w:rFonts w:ascii="Times New Roman" w:hAnsi="Times New Roman"/>
          <w:sz w:val="24"/>
          <w:szCs w:val="24"/>
          <w:lang w:eastAsia="ru-RU"/>
        </w:rPr>
        <w:t xml:space="preserve">ствуясь ст.ст. 194-198 ГПК РФ, суд </w:t>
      </w:r>
    </w:p>
    <w:p w14:paraId="37F6B41D" w14:textId="77777777" w:rsidR="00581FA3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E6897BA" w14:textId="77777777" w:rsidR="00581FA3" w:rsidRPr="00581FA3" w:rsidRDefault="0008251E" w:rsidP="00581FA3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581FA3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РЕШИЛ:</w:t>
      </w:r>
    </w:p>
    <w:p w14:paraId="5D917038" w14:textId="77777777" w:rsidR="00581FA3" w:rsidRPr="00581FA3" w:rsidRDefault="0008251E" w:rsidP="00581FA3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</w:p>
    <w:p w14:paraId="2F8AF048" w14:textId="77777777" w:rsidR="00581FA3" w:rsidRPr="00581FA3" w:rsidRDefault="0008251E" w:rsidP="00581FA3">
      <w:pPr>
        <w:widowControl w:val="0"/>
        <w:autoSpaceDE w:val="0"/>
        <w:autoSpaceDN w:val="0"/>
        <w:adjustRightInd w:val="0"/>
        <w:spacing w:after="0" w:line="240" w:lineRule="auto"/>
        <w:ind w:firstLine="715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удовлетворении исковых требований 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>ПАО «Сбербанк России» в лице филиала – Московского банка ПАО «Сбербанк» 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Тихоновой Елене Юрьевне</w:t>
      </w:r>
      <w:r w:rsidRPr="006C3424">
        <w:rPr>
          <w:rFonts w:ascii="Times New Roman" w:eastAsia="Times New Roman" w:hAnsi="Times New Roman"/>
          <w:sz w:val="24"/>
          <w:szCs w:val="24"/>
          <w:lang w:eastAsia="ru-RU"/>
        </w:rPr>
        <w:t xml:space="preserve">  о взыскании задолженности по международной банковской карте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отказать.</w:t>
      </w:r>
    </w:p>
    <w:p w14:paraId="0030CF21" w14:textId="77777777" w:rsidR="00581FA3" w:rsidRPr="00581FA3" w:rsidRDefault="0008251E" w:rsidP="00581FA3">
      <w:pPr>
        <w:tabs>
          <w:tab w:val="left" w:pos="5670"/>
          <w:tab w:val="left" w:pos="5954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>Реш</w:t>
      </w: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>ение может быть обжаловано в Московский городской суд через Зюзинский районный суд г. Москвы в течение месяца со дня принятия решения в окончательной форме.</w:t>
      </w:r>
    </w:p>
    <w:p w14:paraId="6B86D7B6" w14:textId="77777777" w:rsidR="00581FA3" w:rsidRPr="00581FA3" w:rsidRDefault="0008251E" w:rsidP="00581F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2F0E6033" w14:textId="77777777" w:rsidR="00581FA3" w:rsidRDefault="0008251E" w:rsidP="00581FA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58D48C9" w14:textId="77777777" w:rsidR="00581FA3" w:rsidRPr="00581FA3" w:rsidRDefault="0008251E" w:rsidP="00581FA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>Судья</w:t>
      </w: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81FA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Е.В.  Винокурова </w:t>
      </w:r>
    </w:p>
    <w:p w14:paraId="282E3311" w14:textId="77777777" w:rsidR="00581FA3" w:rsidRDefault="0008251E" w:rsidP="0091015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sectPr w:rsidR="00581FA3" w:rsidSect="00B6484A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C35"/>
    <w:rsid w:val="0008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494909"/>
  <w15:chartTrackingRefBased/>
  <w15:docId w15:val="{8CBC80A7-A865-42F2-9472-423B70D3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77BD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1D9963841EFCC4590CA540E75BC41B1D225294E467EF808552F256DF02A6C0DA62943C1A07CE0F956363B1CA7B5C18200DB32FA0BAB488Au4DBN" TargetMode="External"/><Relationship Id="rId13" Type="http://schemas.openxmlformats.org/officeDocument/2006/relationships/hyperlink" Target="consultantplus://offline/ref=D004E3879A3DA726595F57CF6780DE6A2A5CC904C487635A0657F97D79058B92A7E791C2275BC64239A1754299FE258B2ABCF714AEB96554Q0G8N" TargetMode="External"/><Relationship Id="rId18" Type="http://schemas.openxmlformats.org/officeDocument/2006/relationships/hyperlink" Target="consultantplus://offline/ref=D004E3879A3DA726595F57CF6780DE6A2A5CC904C487635A0657F97D79058B92A7E791C22758C6473BA1754299FE258B2ABCF714AEB96554Q0G8N" TargetMode="External"/><Relationship Id="rId26" Type="http://schemas.openxmlformats.org/officeDocument/2006/relationships/hyperlink" Target="consultantplus://offline/ref=D004E3879A3DA726595F57CF6780DE6A2A5FCB09C58B635A0657F97D79058B92A7E791C22759C64537A1754299FE258B2ABCF714AEB96554Q0G8N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D004E3879A3DA726595F57CF6780DE6A2E5BCD0DCB893E500E0EF57F7E0AD497A0F691C22647C64120A82112QDG4N" TargetMode="External"/><Relationship Id="rId7" Type="http://schemas.openxmlformats.org/officeDocument/2006/relationships/hyperlink" Target="consultantplus://offline/ref=C1D9963841EFCC4590CA540E75BC41B1D225294E467EF808552F256DF02A6C0DA62943C1A07CE0F257363B1CA7B5C18200DB32FA0BAB488Au4DBN" TargetMode="External"/><Relationship Id="rId12" Type="http://schemas.openxmlformats.org/officeDocument/2006/relationships/hyperlink" Target="consultantplus://offline/ref=C1D9963841EFCC4590CA540E75BC41B1D225294E467EF808552F256DF02A6C0DA62943C1A07CE0F458363B1CA7B5C18200DB32FA0BAB488Au4DBN" TargetMode="External"/><Relationship Id="rId17" Type="http://schemas.openxmlformats.org/officeDocument/2006/relationships/hyperlink" Target="consultantplus://offline/ref=D004E3879A3DA726595F57CF6780DE6A2A5CC904C487635A0657F97D79058B92A7E791C22758C6483BA1754299FE258B2ABCF714AEB96554Q0G8N" TargetMode="External"/><Relationship Id="rId25" Type="http://schemas.openxmlformats.org/officeDocument/2006/relationships/hyperlink" Target="consultantplus://offline/ref=D004E3879A3DA726595F5ADC7280DE6A295ACD09CF86635A0657F97D79058B92B5E7C9CE2658D8403FB42313DCQAG2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D004E3879A3DA726595F57CF6780DE6A2A5CC904C487635A0657F97D79058B92A7E791C22758C6473BA1754299FE258B2ABCF714AEB96554Q0G8N" TargetMode="External"/><Relationship Id="rId20" Type="http://schemas.openxmlformats.org/officeDocument/2006/relationships/hyperlink" Target="consultantplus://offline/ref=D004E3879A3DA726595F57CF6780DE6A2A5CC904C487635A0657F97D79058B92A7E791C22758C6483BA1754299FE258B2ABCF714AEB96554Q0G8N" TargetMode="External"/><Relationship Id="rId29" Type="http://schemas.openxmlformats.org/officeDocument/2006/relationships/hyperlink" Target="consultantplus://offline/ref=D004E3879A3DA726595F57CF6780DE6A2A5CC904C487635A0657F97D79058B92A7E791C62750CD146FEE741EDCAA368A2ABCF515B1QBG2N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C1D9963841EFCC4590CA540E75BC41B1D225294E467EF808552F256DF02A6C0DA62943C1A07CE2F059363B1CA7B5C18200DB32FA0BAB488Au4DBN" TargetMode="External"/><Relationship Id="rId11" Type="http://schemas.openxmlformats.org/officeDocument/2006/relationships/hyperlink" Target="consultantplus://offline/ref=C1D9963841EFCC4590CA540E75BC41B1D225294E467EF808552F256DF02A6C0DA62943C1A07CE0F453363B1CA7B5C18200DB32FA0BAB488Au4DBN" TargetMode="External"/><Relationship Id="rId24" Type="http://schemas.openxmlformats.org/officeDocument/2006/relationships/hyperlink" Target="consultantplus://offline/ref=D004E3879A3DA726595F5ADC7280DE6A295ACD0CC485635A0657F97D79058B92B5E7C9CE2658D8403FB42313DCQAG2N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C1107EDAFB474483246CECAA13A239FCF9EE9F9A7E1805D167EC1664927C1D49B21FF035D4455CB973C27D5A54587F635E8F7848BB59AA96ZF60H" TargetMode="External"/><Relationship Id="rId15" Type="http://schemas.openxmlformats.org/officeDocument/2006/relationships/hyperlink" Target="consultantplus://offline/ref=D004E3879A3DA726595F57CF6780DE6A2A5FCD08CB81635A0657F97D79058B92A7E791C22758C2453FA1754299FE258B2ABCF714AEB96554Q0G8N" TargetMode="External"/><Relationship Id="rId23" Type="http://schemas.openxmlformats.org/officeDocument/2006/relationships/hyperlink" Target="consultantplus://offline/ref=D004E3879A3DA726595F5ADC7280DE6A205BCA05CF893E500E0EF57F7E0AD497A0F691C22647C64120A82112QDG4N" TargetMode="External"/><Relationship Id="rId28" Type="http://schemas.openxmlformats.org/officeDocument/2006/relationships/hyperlink" Target="consultantplus://offline/ref=D004E3879A3DA726595F57CF6780DE6A295ACF0BCF8A635A0657F97D79058B92A7E791C22759C6473AA1754299FE258B2ABCF714AEB96554Q0G8N" TargetMode="External"/><Relationship Id="rId10" Type="http://schemas.openxmlformats.org/officeDocument/2006/relationships/hyperlink" Target="consultantplus://offline/ref=C1D9963841EFCC4590CA540E75BC41B1D225294E467EF808552F256DF02A6C0DA62943C1A07CE0F954363B1CA7B5C18200DB32FA0BAB488Au4DBN" TargetMode="External"/><Relationship Id="rId19" Type="http://schemas.openxmlformats.org/officeDocument/2006/relationships/hyperlink" Target="consultantplus://offline/ref=D004E3879A3DA726595F57CF6780DE6A2A5CC904C487635A0657F97D79058B92A7E791C62750CD146FEE741EDCAA368A2ABCF515B1QBG2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1D9963841EFCC4590CA540E75BC41B1D225294E467EF808552F256DF02A6C0DA62943C1A07CE0F256363B1CA7B5C18200DB32FA0BAB488Au4DBN" TargetMode="External"/><Relationship Id="rId14" Type="http://schemas.openxmlformats.org/officeDocument/2006/relationships/hyperlink" Target="consultantplus://offline/ref=D004E3879A3DA726595F57CF6780DE6A2A5FCD08CB81635A0657F97D79058B92A7E791C22758C0403AA1754299FE258B2ABCF714AEB96554Q0G8N" TargetMode="External"/><Relationship Id="rId22" Type="http://schemas.openxmlformats.org/officeDocument/2006/relationships/hyperlink" Target="consultantplus://offline/ref=D004E3879A3DA726595F5ADC7280DE6A2C56CD0ECC893E500E0EF57F7E0AD497A0F691C22647C64120A82112QDG4N" TargetMode="External"/><Relationship Id="rId27" Type="http://schemas.openxmlformats.org/officeDocument/2006/relationships/hyperlink" Target="consultantplus://offline/ref=D004E3879A3DA726595F57CF6780DE6A2A5CC904C487635A0657F97D79058B92A7E791C6265CCD146FEE741EDCAA368A2ABCF515B1QBG2N" TargetMode="External"/><Relationship Id="rId30" Type="http://schemas.openxmlformats.org/officeDocument/2006/relationships/hyperlink" Target="consultantplus://offline/ref=D004E3879A3DA726595F57CF6780DE6A2A5FCD08CB81635A0657F97D79058B92A7E791C22758C24539A1754299FE258B2ABCF714AEB96554Q0G8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3281</Words>
  <Characters>18703</Characters>
  <Application>Microsoft Office Word</Application>
  <DocSecurity>0</DocSecurity>
  <Lines>155</Lines>
  <Paragraphs>43</Paragraphs>
  <ScaleCrop>false</ScaleCrop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