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6FDC06" w14:textId="77777777" w:rsidR="00000000" w:rsidRDefault="001E44FF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77RS0028-02-2021-010242-41</w:t>
      </w:r>
    </w:p>
    <w:p w14:paraId="5B58A280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725EFDE9" w14:textId="77777777" w:rsidR="00000000" w:rsidRDefault="001E44F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2-447/2022 (Дело № 2-4560/2021)</w:t>
      </w:r>
    </w:p>
    <w:p w14:paraId="413FC5B0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468FB619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249A9A9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2EFE844C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«30» июня 2022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7526318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при секретаре </w:t>
      </w:r>
      <w:r>
        <w:rPr>
          <w:rStyle w:val="cat-FIOgrp-13rplc-3"/>
          <w:lang w:val="en-BE" w:eastAsia="en-BE" w:bidi="ar-SA"/>
        </w:rPr>
        <w:t>фио</w:t>
      </w:r>
      <w:r>
        <w:rPr>
          <w:lang w:val="en-BE" w:eastAsia="en-BE" w:bidi="ar-SA"/>
        </w:rPr>
        <w:t>, рассм</w:t>
      </w:r>
      <w:r>
        <w:rPr>
          <w:lang w:val="en-BE" w:eastAsia="en-BE" w:bidi="ar-SA"/>
        </w:rPr>
        <w:t>отрев в открытом судебном заседании гражданское дело №2-447/2022 по иску ПАО Сбербанк в лице филиала – Московский банк ПАО Сбербанк к Трофимову Андрею Леонидовичу, Чулковой Ирине Анатольевне о расторжении кредитного договора, взыскании задолженности по кре</w:t>
      </w:r>
      <w:r>
        <w:rPr>
          <w:lang w:val="en-BE" w:eastAsia="en-BE" w:bidi="ar-SA"/>
        </w:rPr>
        <w:t>дитному договору, обращении взыскания на заложенное имущество и признании права собственности на объект недвижимости, руководствуясь ст.ст.194-198 ГПК РФ,</w:t>
      </w:r>
    </w:p>
    <w:p w14:paraId="5546BA52" w14:textId="77777777" w:rsidR="00000000" w:rsidRDefault="001E44FF">
      <w:pPr>
        <w:ind w:firstLine="709"/>
        <w:jc w:val="both"/>
        <w:rPr>
          <w:lang w:val="en-BE" w:eastAsia="en-BE" w:bidi="ar-SA"/>
        </w:rPr>
      </w:pPr>
    </w:p>
    <w:p w14:paraId="1566B123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FA63AEC" w14:textId="77777777" w:rsidR="00000000" w:rsidRDefault="001E44FF">
      <w:pPr>
        <w:ind w:firstLine="709"/>
        <w:jc w:val="both"/>
        <w:rPr>
          <w:lang w:val="en-BE" w:eastAsia="en-BE" w:bidi="ar-SA"/>
        </w:rPr>
      </w:pPr>
    </w:p>
    <w:p w14:paraId="472F33D8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к Трофимову Ан</w:t>
      </w:r>
      <w:r>
        <w:rPr>
          <w:lang w:val="en-BE" w:eastAsia="en-BE" w:bidi="ar-SA"/>
        </w:rPr>
        <w:t>дрею Леонидовичу, Чулковой Ирине Анатольевне о расторжении кредитного договора, взыскании задолженности по кредитному договору, обращении взыскания на заложенное имущество и признании права собственности на объект недвижимости - удовлетворить.</w:t>
      </w:r>
    </w:p>
    <w:p w14:paraId="78E4C39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</w:t>
      </w:r>
      <w:r>
        <w:rPr>
          <w:lang w:val="en-BE" w:eastAsia="en-BE" w:bidi="ar-SA"/>
        </w:rPr>
        <w:t>кредитный договор №47847312, заключенный 13.05.2014 года между ПАО Сбербанк в лице филиала – Московский банк ПАО Сбербанк и Трофимовым Андреем Леонидовичем.</w:t>
      </w:r>
    </w:p>
    <w:p w14:paraId="7B2FE3FF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Трофимова Андрея Леонидовича, Чулковой Ирины Анатольевны в пользу ПАО Сбербанк</w:t>
      </w:r>
      <w:r>
        <w:rPr>
          <w:lang w:val="en-BE" w:eastAsia="en-BE" w:bidi="ar-SA"/>
        </w:rPr>
        <w:t xml:space="preserve"> в лице филиала – Московский банк ПАО Сбербанк задолженность по кредитному договору №47847312 от 13.05.2014 в сумме 2 517 899 руб. 52 коп., расходы по оплате государственной пошлины 27 942 руб. 12 коп., расходы по оплате оценки предмета залога в размере 57</w:t>
      </w:r>
      <w:r>
        <w:rPr>
          <w:lang w:val="en-BE" w:eastAsia="en-BE" w:bidi="ar-SA"/>
        </w:rPr>
        <w:t>9 руб. 14 коп.</w:t>
      </w:r>
    </w:p>
    <w:p w14:paraId="774AA8B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Признать за Трофимовым Андреем Леонидовичем право собственности на объект недвижимости – квартиру, расположенную в жилом доме № 2, этаж – 8, номер квартиры – </w:t>
      </w:r>
      <w:r>
        <w:rPr>
          <w:rStyle w:val="cat-UserDefinedgrp-33rplc-15"/>
          <w:lang w:val="en-BE" w:eastAsia="en-BE" w:bidi="ar-SA"/>
        </w:rPr>
        <w:t>...</w:t>
      </w:r>
      <w:r>
        <w:rPr>
          <w:lang w:val="en-BE" w:eastAsia="en-BE" w:bidi="ar-SA"/>
        </w:rPr>
        <w:t xml:space="preserve">, количество комнат – 2, площадь квартиры – 62,3 кв.м., находящемся по адресу: </w:t>
      </w:r>
      <w:r>
        <w:rPr>
          <w:rStyle w:val="cat-Addressgrp-1rplc-16"/>
          <w:lang w:val="en-BE" w:eastAsia="en-BE" w:bidi="ar-SA"/>
        </w:rPr>
        <w:t>а</w:t>
      </w:r>
      <w:r>
        <w:rPr>
          <w:rStyle w:val="cat-Addressgrp-1rplc-16"/>
          <w:lang w:val="en-BE" w:eastAsia="en-BE" w:bidi="ar-SA"/>
        </w:rPr>
        <w:t>дрес</w:t>
      </w:r>
      <w:r>
        <w:rPr>
          <w:lang w:val="en-BE" w:eastAsia="en-BE" w:bidi="ar-SA"/>
        </w:rPr>
        <w:t xml:space="preserve"> (кадастровый номер </w:t>
      </w:r>
      <w:r>
        <w:rPr>
          <w:rStyle w:val="cat-UserDefinedgrp-32rplc-17"/>
          <w:lang w:val="en-BE" w:eastAsia="en-BE" w:bidi="ar-SA"/>
        </w:rPr>
        <w:t>...</w:t>
      </w:r>
      <w:r>
        <w:rPr>
          <w:lang w:val="en-BE" w:eastAsia="en-BE" w:bidi="ar-SA"/>
        </w:rPr>
        <w:t>), с обременением права в виде ипотеки в силу закона в пользу ПАО Сбербанк.</w:t>
      </w:r>
    </w:p>
    <w:p w14:paraId="06386BA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Обратить взыскание на квартиру, расположенную в жилом доме № 2, этаж – 8, номер квартиры – </w:t>
      </w:r>
      <w:r>
        <w:rPr>
          <w:rStyle w:val="cat-UserDefinedgrp-33rplc-18"/>
          <w:lang w:val="en-BE" w:eastAsia="en-BE" w:bidi="ar-SA"/>
        </w:rPr>
        <w:t>...</w:t>
      </w:r>
      <w:r>
        <w:rPr>
          <w:lang w:val="en-BE" w:eastAsia="en-BE" w:bidi="ar-SA"/>
        </w:rPr>
        <w:t>, количество комнат – 2, площадь квартиры – 62,3 кв.м., нах</w:t>
      </w:r>
      <w:r>
        <w:rPr>
          <w:lang w:val="en-BE" w:eastAsia="en-BE" w:bidi="ar-SA"/>
        </w:rPr>
        <w:t xml:space="preserve">одящемся по адресу: </w:t>
      </w:r>
      <w:r>
        <w:rPr>
          <w:rStyle w:val="cat-Addressgrp-1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3D868510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Полученные от реализации денежные средства направить истцу в счет погашения задолженности по кредитному договору №47847312 от 13.05.2014. </w:t>
      </w:r>
    </w:p>
    <w:p w14:paraId="6CAB94C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Установить начальную продажную цену предмета залога с учетом п. 4 ч. 2 ст. 54 ФЗ «Об ипот</w:t>
      </w:r>
      <w:r>
        <w:rPr>
          <w:lang w:val="en-BE" w:eastAsia="en-BE" w:bidi="ar-SA"/>
        </w:rPr>
        <w:t>еке» равной восьмидесяти процентам рыночной стоимости такого имущества, определенной в отчете оценщика, то есть в размере 6 154 400 руб., определив способ реализации – путем продажи с публичных торгов.</w:t>
      </w:r>
    </w:p>
    <w:p w14:paraId="0D77413B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</w:t>
      </w:r>
      <w:r>
        <w:rPr>
          <w:lang w:val="en-BE" w:eastAsia="en-BE" w:bidi="ar-SA"/>
        </w:rPr>
        <w:t xml:space="preserve">уд в течение месяца со дня его принятия в окончательной форме путем подачи апелляционной жалобы через Тимирязевский районный суд </w:t>
      </w:r>
      <w:r>
        <w:rPr>
          <w:rStyle w:val="cat-Addressgrp-0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330E2B0F" w14:textId="77777777" w:rsidR="00000000" w:rsidRDefault="001E44FF">
      <w:pPr>
        <w:ind w:firstLine="709"/>
        <w:jc w:val="center"/>
        <w:rPr>
          <w:lang w:val="en-BE" w:eastAsia="en-BE" w:bidi="ar-SA"/>
        </w:rPr>
      </w:pPr>
    </w:p>
    <w:p w14:paraId="4196A1E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       </w:t>
      </w:r>
      <w:r>
        <w:rPr>
          <w:lang w:val="en-BE" w:eastAsia="en-BE" w:bidi="ar-SA"/>
        </w:rPr>
        <w:t xml:space="preserve"> М.А. Макляк  </w:t>
      </w:r>
    </w:p>
    <w:p w14:paraId="4ACD4739" w14:textId="77777777" w:rsidR="00000000" w:rsidRDefault="001E44FF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 </w:t>
      </w:r>
    </w:p>
    <w:p w14:paraId="403233AB" w14:textId="77777777" w:rsidR="00000000" w:rsidRDefault="001E44FF">
      <w:pPr>
        <w:ind w:firstLine="709"/>
        <w:rPr>
          <w:lang w:val="en-BE" w:eastAsia="en-BE" w:bidi="ar-SA"/>
        </w:rPr>
      </w:pPr>
    </w:p>
    <w:p w14:paraId="60F4F86B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30EAFDC9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4216C47D" w14:textId="77777777" w:rsidR="00000000" w:rsidRDefault="001E44F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77RS0028-02-2021-010242-41</w:t>
      </w:r>
    </w:p>
    <w:p w14:paraId="7E7CB949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11DD2979" w14:textId="77777777" w:rsidR="00000000" w:rsidRDefault="001E44F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2-447/2022 (Дело № 2-4560/2021)</w:t>
      </w:r>
    </w:p>
    <w:p w14:paraId="6C8CB57C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6D1B4E87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4BA0943E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A63EA7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«30» июня 2022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</w:t>
      </w:r>
      <w:r>
        <w:rPr>
          <w:rStyle w:val="cat-Addressgrp-0rplc-23"/>
          <w:lang w:val="en-BE" w:eastAsia="en-BE" w:bidi="ar-SA"/>
        </w:rPr>
        <w:t>адрес</w:t>
      </w:r>
    </w:p>
    <w:p w14:paraId="162685D7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при </w:t>
      </w:r>
      <w:r>
        <w:rPr>
          <w:lang w:val="en-BE" w:eastAsia="en-BE" w:bidi="ar-SA"/>
        </w:rPr>
        <w:t xml:space="preserve">секретаре </w:t>
      </w:r>
      <w:r>
        <w:rPr>
          <w:rStyle w:val="cat-FIOgrp-13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№2-447/2022 по иску ПАО Сбербанк в лице филиала – Московский банк ПАО Сбербанк к Трофимову Андрею Леонидовичу, Чулковой Ирине Анатольевне о расторжении кредитного договора, взыскании </w:t>
      </w:r>
      <w:r>
        <w:rPr>
          <w:lang w:val="en-BE" w:eastAsia="en-BE" w:bidi="ar-SA"/>
        </w:rPr>
        <w:t>задолженности по кредитному договору, обращении взыскания на заложенное имущество и признании права собственности на объект недвижимости,</w:t>
      </w:r>
    </w:p>
    <w:p w14:paraId="5EE93BD5" w14:textId="77777777" w:rsidR="00000000" w:rsidRDefault="001E44FF">
      <w:pPr>
        <w:ind w:firstLine="709"/>
        <w:jc w:val="both"/>
        <w:rPr>
          <w:lang w:val="en-BE" w:eastAsia="en-BE" w:bidi="ar-SA"/>
        </w:rPr>
      </w:pPr>
    </w:p>
    <w:p w14:paraId="34A93318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A19FBF4" w14:textId="77777777" w:rsidR="00000000" w:rsidRDefault="001E44FF">
      <w:pPr>
        <w:ind w:firstLine="709"/>
        <w:jc w:val="both"/>
        <w:rPr>
          <w:lang w:val="en-BE" w:eastAsia="en-BE" w:bidi="ar-SA"/>
        </w:rPr>
      </w:pPr>
    </w:p>
    <w:p w14:paraId="31E3B07C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обратился в суд с иском к ответчикам и просит суд с учетом уточнений исковых требований расторгнуть</w:t>
      </w:r>
      <w:r>
        <w:rPr>
          <w:lang w:val="en-BE" w:eastAsia="en-BE" w:bidi="ar-SA"/>
        </w:rPr>
        <w:t xml:space="preserve"> кредитный договор №47847312, заключенный 13.05.2014 года между ПАО Сбербанк в лице филиала – Московский банк ПАО Сбербанк и Трофимовым А.Л., взыскать солидарно с </w:t>
      </w:r>
      <w:r>
        <w:rPr>
          <w:rStyle w:val="cat-FIOgrp-19rplc-30"/>
          <w:lang w:val="en-BE" w:eastAsia="en-BE" w:bidi="ar-SA"/>
        </w:rPr>
        <w:t>фио</w:t>
      </w:r>
      <w:r>
        <w:rPr>
          <w:lang w:val="en-BE" w:eastAsia="en-BE" w:bidi="ar-SA"/>
        </w:rPr>
        <w:t>, Чулковой И.А. в пользу ПАО Сбербанк в лице филиала – Московский банк ПАО Сбербанк задолж</w:t>
      </w:r>
      <w:r>
        <w:rPr>
          <w:lang w:val="en-BE" w:eastAsia="en-BE" w:bidi="ar-SA"/>
        </w:rPr>
        <w:t>енность по кредитному договору в сумме 2 517 899 руб. 52 коп., расходы по оплате государственной пошлины 27 942 руб. 12 коп., расходы по оплате оценки предмета залога в размере 579 руб. 14 коп. Признать за Трофимовым А.Л. право собственности на объект недв</w:t>
      </w:r>
      <w:r>
        <w:rPr>
          <w:lang w:val="en-BE" w:eastAsia="en-BE" w:bidi="ar-SA"/>
        </w:rPr>
        <w:t xml:space="preserve">ижимости – квартиру, расположенную в жилом доме № 2, этаж – 8, номер квартиры – </w:t>
      </w:r>
      <w:r>
        <w:rPr>
          <w:rStyle w:val="cat-UserDefinedgrp-33rplc-36"/>
          <w:lang w:val="en-BE" w:eastAsia="en-BE" w:bidi="ar-SA"/>
        </w:rPr>
        <w:t>...</w:t>
      </w:r>
      <w:r>
        <w:rPr>
          <w:lang w:val="en-BE" w:eastAsia="en-BE" w:bidi="ar-SA"/>
        </w:rPr>
        <w:t xml:space="preserve">, количество комнат – 2, площадь квартиры – 62,3 кв.м., находящемся по адресу: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(кадастровый номер </w:t>
      </w:r>
      <w:r>
        <w:rPr>
          <w:rStyle w:val="cat-UserDefinedgrp-32rplc-38"/>
          <w:lang w:val="en-BE" w:eastAsia="en-BE" w:bidi="ar-SA"/>
        </w:rPr>
        <w:t>...</w:t>
      </w:r>
      <w:r>
        <w:rPr>
          <w:lang w:val="en-BE" w:eastAsia="en-BE" w:bidi="ar-SA"/>
        </w:rPr>
        <w:t xml:space="preserve">), с обременением права в виде ипотеки в силу закона в пользу ПАО </w:t>
      </w:r>
      <w:r>
        <w:rPr>
          <w:lang w:val="en-BE" w:eastAsia="en-BE" w:bidi="ar-SA"/>
        </w:rPr>
        <w:t xml:space="preserve">Сбербанк. Обратить взыскание на квартиру, расположенную в жилом доме № 2, этаж – 8, номер квартиры – </w:t>
      </w:r>
      <w:r>
        <w:rPr>
          <w:rStyle w:val="cat-UserDefinedgrp-33rplc-39"/>
          <w:lang w:val="en-BE" w:eastAsia="en-BE" w:bidi="ar-SA"/>
        </w:rPr>
        <w:t>...</w:t>
      </w:r>
      <w:r>
        <w:rPr>
          <w:lang w:val="en-BE" w:eastAsia="en-BE" w:bidi="ar-SA"/>
        </w:rPr>
        <w:t xml:space="preserve">, количество комнат – 2, площадь квартиры – 62,3 кв.м., находящемся по адресу: </w:t>
      </w:r>
      <w:r>
        <w:rPr>
          <w:rStyle w:val="cat-Addressgrp-1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Полученные от реализации денежные средства направить истцу в счет </w:t>
      </w:r>
      <w:r>
        <w:rPr>
          <w:lang w:val="en-BE" w:eastAsia="en-BE" w:bidi="ar-SA"/>
        </w:rPr>
        <w:t>погашения задолженности по кредитному договору №47847312 от 13.05.2014. Установить начальную продажную цену предмета залога с учетом п. 4 ч. 2 ст. 54 ФЗ «Об ипотеке» равной восьмидесяти процентам рыночной стоимости такого имущества, определенной в отчете о</w:t>
      </w:r>
      <w:r>
        <w:rPr>
          <w:lang w:val="en-BE" w:eastAsia="en-BE" w:bidi="ar-SA"/>
        </w:rPr>
        <w:t>ценщика, то есть в размере 6 154 400 руб., определив способ реализации – путем продажи с публичных торгов.</w:t>
      </w:r>
    </w:p>
    <w:p w14:paraId="06F64DA8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мотивированы тем, что ПАО «Сбербанк России» на основании заключенного 13.05.2014 кредитного договора №47847312 выдало кредит Трофи</w:t>
      </w:r>
      <w:r>
        <w:rPr>
          <w:lang w:val="en-BE" w:eastAsia="en-BE" w:bidi="ar-SA"/>
        </w:rPr>
        <w:t xml:space="preserve">мову А.Л. в сумме 2 999 000 руб. на срок 144 мес. под 12% годовых на инвестирование строительства объекта недвижимости – квартиры, проектной площадью 63,26 кв.м. в жилом доме по адресу: </w:t>
      </w:r>
      <w:r>
        <w:rPr>
          <w:rStyle w:val="cat-Addressgrp-2rplc-44"/>
          <w:lang w:val="en-BE" w:eastAsia="en-BE" w:bidi="ar-SA"/>
        </w:rPr>
        <w:t>адрес</w:t>
      </w:r>
      <w:r>
        <w:rPr>
          <w:lang w:val="en-BE" w:eastAsia="en-BE" w:bidi="ar-SA"/>
        </w:rPr>
        <w:t>. В обеспечение исполнения обязательств по кредитному договору бы</w:t>
      </w:r>
      <w:r>
        <w:rPr>
          <w:lang w:val="en-BE" w:eastAsia="en-BE" w:bidi="ar-SA"/>
        </w:rPr>
        <w:t>л заключен договор поручительства №47847312/17549 от 13.05.2014 с Чулковой И.А., по условиям которого поручитель несет солидарную ответственность с заемщиком. В соответствии с п. 1.9.1 кредитного договора в качестве обеспечения своевременного и полного исп</w:t>
      </w:r>
      <w:r>
        <w:rPr>
          <w:lang w:val="en-BE" w:eastAsia="en-BE" w:bidi="ar-SA"/>
        </w:rPr>
        <w:t>олнения обязательств по договору заемщик предоставляет (обеспечивает предоставление) кредитору залог прав требования участника долевого строительства по договору участия в долевом строительстве № 6-2/2/8/</w:t>
      </w:r>
      <w:r>
        <w:rPr>
          <w:rStyle w:val="cat-UserDefinedgrp-33rplc-46"/>
          <w:lang w:val="en-BE" w:eastAsia="en-BE" w:bidi="ar-SA"/>
        </w:rPr>
        <w:t>...</w:t>
      </w:r>
      <w:r>
        <w:rPr>
          <w:lang w:val="en-BE" w:eastAsia="en-BE" w:bidi="ar-SA"/>
        </w:rPr>
        <w:t xml:space="preserve"> от 13.05.2014. По имеющейся у истца информации Т</w:t>
      </w:r>
      <w:r>
        <w:rPr>
          <w:lang w:val="en-BE" w:eastAsia="en-BE" w:bidi="ar-SA"/>
        </w:rPr>
        <w:t xml:space="preserve">рофимов А.Л. </w:t>
      </w:r>
      <w:r>
        <w:rPr>
          <w:lang w:val="en-BE" w:eastAsia="en-BE" w:bidi="ar-SA"/>
        </w:rPr>
        <w:lastRenderedPageBreak/>
        <w:t xml:space="preserve">после получения необходимых для государственной регистрации своего права документов не предпринял действий к государственной регистрации собственности. По причине неоднократного нарушения заемщиком условий кредитного договора в части сроков и </w:t>
      </w:r>
      <w:r>
        <w:rPr>
          <w:lang w:val="en-BE" w:eastAsia="en-BE" w:bidi="ar-SA"/>
        </w:rPr>
        <w:t>сумм ежемесячных платежей, у созаемщиков образовалась просроченная задолженность по кредиту по состоянию на 13.07.2020 в размере 2 517 899 руб. 52 коп., из которых просроченный основной долг – 2 197 692 руб. 28 коп., неустойка по просроченному основному до</w:t>
      </w:r>
      <w:r>
        <w:rPr>
          <w:lang w:val="en-BE" w:eastAsia="en-BE" w:bidi="ar-SA"/>
        </w:rPr>
        <w:t>лгу – 145 377 руб. 86 коп., неустойка по просроченным процентам – 174 829 руб. 38 коп.</w:t>
      </w:r>
    </w:p>
    <w:p w14:paraId="320DD9E2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</w:t>
      </w:r>
      <w:r>
        <w:rPr>
          <w:rStyle w:val="cat-FIOgrp-21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заявленные исковые требования поддержал, настаивал на удовлетворении иска. </w:t>
      </w:r>
    </w:p>
    <w:p w14:paraId="586C8140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Трофимов А.Л. в судебное засед</w:t>
      </w:r>
      <w:r>
        <w:rPr>
          <w:lang w:val="en-BE" w:eastAsia="en-BE" w:bidi="ar-SA"/>
        </w:rPr>
        <w:t xml:space="preserve">ание явился, исковые требования частично признал, просил не обращать взыскание на предмет залога, поскольку погашает задолженность. </w:t>
      </w:r>
    </w:p>
    <w:p w14:paraId="55A75F6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Чулкова И.А. в судебное заседание не явились, о времени и месте судебного заседания извещалась надлежащим образом.</w:t>
      </w:r>
      <w:r>
        <w:rPr>
          <w:lang w:val="en-BE" w:eastAsia="en-BE" w:bidi="ar-SA"/>
        </w:rPr>
        <w:t xml:space="preserve"> </w:t>
      </w:r>
    </w:p>
    <w:p w14:paraId="11039C28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Третьи лица ГБУ МФЦ </w:t>
      </w:r>
      <w:r>
        <w:rPr>
          <w:rStyle w:val="cat-Addressgrp-0rplc-55"/>
          <w:lang w:val="en-BE" w:eastAsia="en-BE" w:bidi="ar-SA"/>
        </w:rPr>
        <w:t>адрес</w:t>
      </w:r>
      <w:r>
        <w:rPr>
          <w:lang w:val="en-BE" w:eastAsia="en-BE" w:bidi="ar-SA"/>
        </w:rPr>
        <w:t>, ОАО «Экспериментальный керамический завод» в судебное заседание не явились, надлежащим образом извещены.</w:t>
      </w:r>
    </w:p>
    <w:p w14:paraId="528A64A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положений ст. ст. 113, 167 ГПК РФ дело рассмотрено при данной явке.</w:t>
      </w:r>
    </w:p>
    <w:p w14:paraId="224518E4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изучив письменные материалы дела, оценив</w:t>
      </w:r>
      <w:r>
        <w:rPr>
          <w:lang w:val="en-BE" w:eastAsia="en-BE" w:bidi="ar-SA"/>
        </w:rPr>
        <w:t xml:space="preserve"> представленные доказательства в их совокупности, с учетом требований ст. 56 ГПК РФ и по правилам ст. 67 ГПК РФ, находит исковые требования законными, обоснованными и подлежащими удовлетворению по следующим основаниям.</w:t>
      </w:r>
    </w:p>
    <w:p w14:paraId="4FD8A6B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</w:t>
      </w:r>
      <w:r>
        <w:rPr>
          <w:lang w:val="en-BE" w:eastAsia="en-BE" w:bidi="ar-SA"/>
        </w:rPr>
        <w:t>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</w:t>
      </w:r>
      <w:r>
        <w:rPr>
          <w:lang w:val="en-BE" w:eastAsia="en-BE" w:bidi="ar-SA"/>
        </w:rPr>
        <w:t xml:space="preserve">бованиями. </w:t>
      </w:r>
    </w:p>
    <w:p w14:paraId="458083AF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6E48BC2B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395 ГК РФ в случаях неправомерного удержания денежн</w:t>
      </w:r>
      <w:r>
        <w:rPr>
          <w:lang w:val="en-BE" w:eastAsia="en-BE" w:bidi="ar-SA"/>
        </w:rPr>
        <w:t xml:space="preserve">ых средств, уклонения от их возврата, иной просрочки в их уплате подлежат уплате проценты на сумму долга. Размер процентов определяется ключевой ставкой Банка России, действовавшей в соответствующие периоды. </w:t>
      </w:r>
    </w:p>
    <w:p w14:paraId="7767B787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330 ГК РФ, неустойкой (шт</w:t>
      </w:r>
      <w:r>
        <w:rPr>
          <w:lang w:val="en-BE" w:eastAsia="en-BE" w:bidi="ar-SA"/>
        </w:rPr>
        <w:t>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</w:t>
      </w:r>
      <w:r>
        <w:rPr>
          <w:lang w:val="en-BE" w:eastAsia="en-BE" w:bidi="ar-SA"/>
        </w:rPr>
        <w:t>ойки кредитор не обязан доказывать причинение ему убытков.</w:t>
      </w:r>
    </w:p>
    <w:p w14:paraId="60F8A44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п. 2 ст. 450 ГК РФ по требованию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</w:t>
      </w:r>
      <w:r>
        <w:rPr>
          <w:lang w:val="en-BE" w:eastAsia="en-BE" w:bidi="ar-SA"/>
        </w:rPr>
        <w:t>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</w:t>
      </w:r>
      <w:r>
        <w:rPr>
          <w:lang w:val="en-BE" w:eastAsia="en-BE" w:bidi="ar-SA"/>
        </w:rPr>
        <w:t>ри заключении договора.</w:t>
      </w:r>
    </w:p>
    <w:p w14:paraId="3DC27FAC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за пользование займом в размерах и в порядке, определенных договором.</w:t>
      </w:r>
    </w:p>
    <w:p w14:paraId="69A8C17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</w:t>
      </w:r>
      <w:r>
        <w:rPr>
          <w:lang w:val="en-BE" w:eastAsia="en-BE" w:bidi="ar-SA"/>
        </w:rPr>
        <w:t xml:space="preserve">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0A123C10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ч. 2 ст. 811 ГК РФ если договором займа предусмотрено возвращение займа по частям (в рассрочку), то при нарушении заемщиком</w:t>
      </w:r>
      <w:r>
        <w:rPr>
          <w:lang w:val="en-BE" w:eastAsia="en-BE" w:bidi="ar-SA"/>
        </w:rPr>
        <w:t xml:space="preserve">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7896D8C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 по кредитному до</w:t>
      </w:r>
      <w:r>
        <w:rPr>
          <w:lang w:val="en-BE" w:eastAsia="en-BE" w:bidi="ar-SA"/>
        </w:rPr>
        <w:t>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</w:t>
      </w:r>
      <w:r>
        <w:rPr>
          <w:lang w:val="en-BE" w:eastAsia="en-BE" w:bidi="ar-SA"/>
        </w:rPr>
        <w:t xml:space="preserve"> ею, а также предусмотренные кредитным договором иные платежи, в том числе связанные с предоставлением кредита.</w:t>
      </w:r>
    </w:p>
    <w:p w14:paraId="4E070F27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ПАО «Сбербанк России» на основании заключенного 13.05.2014 кредитного договора №47847312 выдало кредит Трофимову А.Л. в с</w:t>
      </w:r>
      <w:r>
        <w:rPr>
          <w:lang w:val="en-BE" w:eastAsia="en-BE" w:bidi="ar-SA"/>
        </w:rPr>
        <w:t xml:space="preserve">умме 2 999 000 руб.  на срок 144 мес. под 12% годовых. </w:t>
      </w:r>
    </w:p>
    <w:p w14:paraId="7FDD224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выдавался на инвестирование на инвестирование строительства объекта недвижимости – квартиры, проектной площадью 63,26 кв.м. в жилом доме по адресу: </w:t>
      </w:r>
      <w:r>
        <w:rPr>
          <w:rStyle w:val="cat-Addressgrp-2rplc-58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617A140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1.9.1 кредитного д</w:t>
      </w:r>
      <w:r>
        <w:rPr>
          <w:lang w:val="en-BE" w:eastAsia="en-BE" w:bidi="ar-SA"/>
        </w:rPr>
        <w:t>оговора в качестве обеспечения своевременного и полного исполнения обязательств по договору заемщик предоставляет (обеспечивает предоставление) кредитору залог прав требования участника долевого строительства по договору участия в долевом строительстве № 6</w:t>
      </w:r>
      <w:r>
        <w:rPr>
          <w:lang w:val="en-BE" w:eastAsia="en-BE" w:bidi="ar-SA"/>
        </w:rPr>
        <w:t>-2/2/8/</w:t>
      </w:r>
      <w:r>
        <w:rPr>
          <w:rStyle w:val="cat-UserDefinedgrp-33rplc-59"/>
          <w:lang w:val="en-BE" w:eastAsia="en-BE" w:bidi="ar-SA"/>
        </w:rPr>
        <w:t>...</w:t>
      </w:r>
      <w:r>
        <w:rPr>
          <w:lang w:val="en-BE" w:eastAsia="en-BE" w:bidi="ar-SA"/>
        </w:rPr>
        <w:t xml:space="preserve"> от 13.05.2014. </w:t>
      </w:r>
    </w:p>
    <w:p w14:paraId="23603188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Указанный договор участия в долевом строительстве зарегистрирован в Управлении Федеральной службы государственной регистрации, кадастра и картографии по </w:t>
      </w:r>
      <w:r>
        <w:rPr>
          <w:rStyle w:val="cat-Addressgrp-3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27.05.2014.</w:t>
      </w:r>
    </w:p>
    <w:p w14:paraId="3C58FD1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1.8 кредитного договора погашение к</w:t>
      </w:r>
      <w:r>
        <w:rPr>
          <w:lang w:val="en-BE" w:eastAsia="en-BE" w:bidi="ar-SA"/>
        </w:rPr>
        <w:t xml:space="preserve">редита и уплата процентов должны производиться ежемесячно аннуитетными платежами в соответствии с графиком платежей. </w:t>
      </w:r>
    </w:p>
    <w:p w14:paraId="3CF1DDD4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при несвоевременном внесении ежемесячного платежа в погашение кредита и/или уплату проценто</w:t>
      </w:r>
      <w:r>
        <w:rPr>
          <w:lang w:val="en-BE" w:eastAsia="en-BE" w:bidi="ar-SA"/>
        </w:rPr>
        <w:t xml:space="preserve">в за пользование кредитом заемщик уплачивает неустойку в размере 0,5% годовых. </w:t>
      </w:r>
    </w:p>
    <w:p w14:paraId="25D7E7A2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</w:t>
      </w:r>
      <w:r>
        <w:rPr>
          <w:lang w:val="en-BE" w:eastAsia="en-BE" w:bidi="ar-SA"/>
        </w:rPr>
        <w:t xml:space="preserve">ование кредитом, неустойки в соответствии с условиями кредитного договора, определяемых на дату погашения кредита, и возмещения расходов, связанных с взысканием задолженности. </w:t>
      </w:r>
    </w:p>
    <w:p w14:paraId="66DDEE9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Трофимов А.Л. неоднократно нарушал у</w:t>
      </w:r>
      <w:r>
        <w:rPr>
          <w:lang w:val="en-BE" w:eastAsia="en-BE" w:bidi="ar-SA"/>
        </w:rPr>
        <w:t xml:space="preserve">словия кредитного договора  в части сроков и сумм ежемесячных платежей, в связи, с чем образовалась просроченная задолженность по кредиту. </w:t>
      </w:r>
    </w:p>
    <w:p w14:paraId="6B18092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13.07.2020 задолженность ответчика составляет 2 517 899 руб. 52 коп., в том числе: просроченный осно</w:t>
      </w:r>
      <w:r>
        <w:rPr>
          <w:lang w:val="en-BE" w:eastAsia="en-BE" w:bidi="ar-SA"/>
        </w:rPr>
        <w:t xml:space="preserve">вной долг – 2 197 692 руб. 28 коп., неустойка за просроченный основной долг – 145 377 руб. 86 коп., неустойка за просроченные проценты – 174 829 руб. 38 коп. </w:t>
      </w:r>
    </w:p>
    <w:p w14:paraId="1423EA4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обеспечение исполнения обязательств по кредитному договору был заключен договор поручительства </w:t>
      </w:r>
      <w:r>
        <w:rPr>
          <w:lang w:val="en-BE" w:eastAsia="en-BE" w:bidi="ar-SA"/>
        </w:rPr>
        <w:t>№47847312/17549 от 13.05.2014 с Чулковой И.А., по условиям которого поручитель несет солидарную ответственность с заемщиком.</w:t>
      </w:r>
    </w:p>
    <w:p w14:paraId="40DF2F7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Ответчикам Трофимову А.Л. и Чулковой И.А. направлялись требования о досрочном возврате задолженности, однако требование до настояще</w:t>
      </w:r>
      <w:r>
        <w:rPr>
          <w:lang w:val="en-BE" w:eastAsia="en-BE" w:bidi="ar-SA"/>
        </w:rPr>
        <w:t>го момента не выполнено.</w:t>
      </w:r>
    </w:p>
    <w:p w14:paraId="4D2C85E7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соглашается с расчетом задолженности, произведенным истцом, поскольку он является арифметически верным, расчет произведен на основании условий кредитного договора.</w:t>
      </w:r>
    </w:p>
    <w:p w14:paraId="4019C60F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Ответчики свой расчет не представили, доказательств оплаты задо</w:t>
      </w:r>
      <w:r>
        <w:rPr>
          <w:lang w:val="en-BE" w:eastAsia="en-BE" w:bidi="ar-SA"/>
        </w:rPr>
        <w:t>лженности по кредитному договору материалы дела также не содержат.</w:t>
      </w:r>
    </w:p>
    <w:p w14:paraId="37D010C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 к</w:t>
      </w:r>
      <w:r>
        <w:rPr>
          <w:lang w:val="en-BE" w:eastAsia="en-BE" w:bidi="ar-SA"/>
        </w:rPr>
        <w:t>ак полностью, так и в части долга.</w:t>
      </w:r>
    </w:p>
    <w:p w14:paraId="44218321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54B07017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внимание, что обязательства, </w:t>
      </w:r>
      <w:r>
        <w:rPr>
          <w:lang w:val="en-BE" w:eastAsia="en-BE" w:bidi="ar-SA"/>
        </w:rPr>
        <w:t xml:space="preserve">предусмотренные кредитным договором по возврату полученных в кредит денежных средств и уплате процентов заемщиком не исполняются, истец вправе требовать с ответчиков солидарно досрочного взыскания задолженности, размер которой составляет 2 517 899 руб. 52 </w:t>
      </w:r>
      <w:r>
        <w:rPr>
          <w:lang w:val="en-BE" w:eastAsia="en-BE" w:bidi="ar-SA"/>
        </w:rPr>
        <w:t xml:space="preserve">коп., в связи с чем, образовавшаяся задолженность подлежит взысканию в судебном порядке. </w:t>
      </w:r>
    </w:p>
    <w:p w14:paraId="0FC8F9C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неисполнение обязательств по возврату денежных средств является существенным нарушением условий договора, суд полагает, что заключенный сторонами кредитный </w:t>
      </w:r>
      <w:r>
        <w:rPr>
          <w:lang w:val="en-BE" w:eastAsia="en-BE" w:bidi="ar-SA"/>
        </w:rPr>
        <w:t>договор подлежит расторжению.</w:t>
      </w:r>
    </w:p>
    <w:p w14:paraId="2C23DFFA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16 ФЗ № 214-ФЗ право собственности участника долевого строительства на объект долевого строительства после передачи участнику долевого строительства объекта долевого строительства в соответствии со статьей 8 настоящ</w:t>
      </w:r>
      <w:r>
        <w:rPr>
          <w:lang w:val="en-BE" w:eastAsia="en-BE" w:bidi="ar-SA"/>
        </w:rPr>
        <w:t>его Федерального закона подлежит государственной регистрации в порядке, установленном Федеральным законом от 13 июля 2015 года № 218-ФЗ «О государственной регистрации недвижимости».</w:t>
      </w:r>
    </w:p>
    <w:p w14:paraId="77543DA1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53 Федерального закона от 13 июля 2015 года № 218-ФЗ «О го</w:t>
      </w:r>
      <w:r>
        <w:rPr>
          <w:lang w:val="en-BE" w:eastAsia="en-BE" w:bidi="ar-SA"/>
        </w:rPr>
        <w:t>сударственной регистрации недвижимости» государственная регистрация ипотеки, возникающей на основании закона, осуществляется одновременно с государственной регистрации права собственности залогодателя на являющийся предметом ипотеки объект недвижимости или</w:t>
      </w:r>
      <w:r>
        <w:rPr>
          <w:lang w:val="en-BE" w:eastAsia="en-BE" w:bidi="ar-SA"/>
        </w:rPr>
        <w:t xml:space="preserve"> иного являющегося предметом ипотеки и подлежащего государственной регистрации права залогодателя на объект недвижимости на основании договора, влекущего возникновение ипотеки на основании закона.</w:t>
      </w:r>
    </w:p>
    <w:p w14:paraId="75CD321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абзацу 2 части 2 статьи 20 Федерального закона от </w:t>
      </w:r>
      <w:r>
        <w:rPr>
          <w:lang w:val="en-BE" w:eastAsia="en-BE" w:bidi="ar-SA"/>
        </w:rPr>
        <w:t>16 июля 1998 года № 102-ФЗ «Об ипотеке (залоге недвижимости)» государственная регистрация ипотеки в силу закона осуществляется одновременно с государственной регистрацией права собственности лица, чьи права обременяются ипотекой, если иное не установлено ф</w:t>
      </w:r>
      <w:r>
        <w:rPr>
          <w:lang w:val="en-BE" w:eastAsia="en-BE" w:bidi="ar-SA"/>
        </w:rPr>
        <w:t>едеральным законом.</w:t>
      </w:r>
    </w:p>
    <w:p w14:paraId="5C0765B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искового заявления и не оспаривается ответчиком, Трофимов А.Л. после получения необходимых для государственной регистрации своего права документов право собственности на объект долевого строительства – квартиру не зарегис</w:t>
      </w:r>
      <w:r>
        <w:rPr>
          <w:lang w:val="en-BE" w:eastAsia="en-BE" w:bidi="ar-SA"/>
        </w:rPr>
        <w:t>трировал.</w:t>
      </w:r>
    </w:p>
    <w:p w14:paraId="22D5CA5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совокупного толкования статьи 16 Федерального закона от 13 июля 2015 года № 218-ФЗ «О государственной регистрации недвижимости», ст. 1 и главы IV «Государственная регистрация ипотеки» Федерального закона от 16 июля 1998 года № 102-ФЗ «О</w:t>
      </w:r>
      <w:r>
        <w:rPr>
          <w:lang w:val="en-BE" w:eastAsia="en-BE" w:bidi="ar-SA"/>
        </w:rPr>
        <w:t>б ипотеке (залоге недвижимости)» стороны договора о залоге обязаны оформить его государственную регистрацию, что также применяется к залогу недвижимого имущества, возникающему на основании федерального закона.</w:t>
      </w:r>
    </w:p>
    <w:p w14:paraId="7EC1240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2 ст. 165 ГК РФ если сделк</w:t>
      </w:r>
      <w:r>
        <w:rPr>
          <w:lang w:val="en-BE" w:eastAsia="en-BE" w:bidi="ar-SA"/>
        </w:rPr>
        <w:t>а, требующая государственной регистрации, совершена в надлежащей форме, но одна из сторон уклоняется от ее регистрации, суд по требованию другой стороны вправе вынести решение о регистрации сделки. В этом случае сделка регистрируется в соответствии с решен</w:t>
      </w:r>
      <w:r>
        <w:rPr>
          <w:lang w:val="en-BE" w:eastAsia="en-BE" w:bidi="ar-SA"/>
        </w:rPr>
        <w:t>ием суда.</w:t>
      </w:r>
    </w:p>
    <w:p w14:paraId="529117DC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Применяя указанные нормы права в их совокупности, учитывая, что уклонение </w:t>
      </w:r>
      <w:r>
        <w:rPr>
          <w:rStyle w:val="cat-FIOgrp-19rplc-71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государственной регистрации его права собственности на созданный объект недвижимости нарушает права истца как залогодержателя объекта недвижимости, суд полагает необ</w:t>
      </w:r>
      <w:r>
        <w:rPr>
          <w:lang w:val="en-BE" w:eastAsia="en-BE" w:bidi="ar-SA"/>
        </w:rPr>
        <w:t xml:space="preserve">ходимым признать за Трофимовым А.Л. право собственности на объект недвижимости – </w:t>
      </w:r>
      <w:r>
        <w:rPr>
          <w:lang w:val="en-BE" w:eastAsia="en-BE" w:bidi="ar-SA"/>
        </w:rPr>
        <w:lastRenderedPageBreak/>
        <w:t xml:space="preserve">квартиру, расположенную в жилом доме № 2, этаж – 8, номер квартиры – </w:t>
      </w:r>
      <w:r>
        <w:rPr>
          <w:rStyle w:val="cat-UserDefinedgrp-33rplc-73"/>
          <w:lang w:val="en-BE" w:eastAsia="en-BE" w:bidi="ar-SA"/>
        </w:rPr>
        <w:t>...</w:t>
      </w:r>
      <w:r>
        <w:rPr>
          <w:lang w:val="en-BE" w:eastAsia="en-BE" w:bidi="ar-SA"/>
        </w:rPr>
        <w:t xml:space="preserve">, количество комнат – 2, площадь квартиры – 62,3 кв.м., находящемся по адресу: </w:t>
      </w:r>
      <w:r>
        <w:rPr>
          <w:rStyle w:val="cat-Addressgrp-1rplc-7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(кадастровый номер</w:t>
      </w:r>
      <w:r>
        <w:rPr>
          <w:lang w:val="en-BE" w:eastAsia="en-BE" w:bidi="ar-SA"/>
        </w:rPr>
        <w:t xml:space="preserve"> </w:t>
      </w:r>
      <w:r>
        <w:rPr>
          <w:rStyle w:val="cat-UserDefinedgrp-32rplc-75"/>
          <w:lang w:val="en-BE" w:eastAsia="en-BE" w:bidi="ar-SA"/>
        </w:rPr>
        <w:t>...</w:t>
      </w:r>
      <w:r>
        <w:rPr>
          <w:lang w:val="en-BE" w:eastAsia="en-BE" w:bidi="ar-SA"/>
        </w:rPr>
        <w:t>), с обременением права в виде ипотеки в силу закона в пользу ПАО Сбербанк</w:t>
      </w:r>
    </w:p>
    <w:p w14:paraId="234D269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п.1 ст. 334 Гражданского кодекса РФ в силу залога кредитор по обеспеченному залогом обязательству (залогодержатель) имеет право в случае неисполнения или ненадлежащего </w:t>
      </w:r>
      <w:r>
        <w:rPr>
          <w:lang w:val="en-BE" w:eastAsia="en-BE" w:bidi="ar-SA"/>
        </w:rPr>
        <w:t>исполнения должником этого обязательства получить удовлетворение из стоимости заложенного имущества (предмета залога) преимущественно перед другими кредиторами лица, которому принадлежит заложенное имущество (залогодателя).</w:t>
      </w:r>
    </w:p>
    <w:p w14:paraId="61CF511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статьей 1 Феде</w:t>
      </w:r>
      <w:r>
        <w:rPr>
          <w:lang w:val="en-BE" w:eastAsia="en-BE" w:bidi="ar-SA"/>
        </w:rPr>
        <w:t>рального закона от 16 июля 1998 г. N 102-ФЗ "Об ипотеке (залоге недвижимости)" (далее - Закон об ипотеке) по договору о залоге недвижимого имущества (договору об ипотеке) одна сторона - залогодержатель, являющийся кредитором по обязательству, обеспеченному</w:t>
      </w:r>
      <w:r>
        <w:rPr>
          <w:lang w:val="en-BE" w:eastAsia="en-BE" w:bidi="ar-SA"/>
        </w:rPr>
        <w:t xml:space="preserve"> ипотекой, имеет право получить удовлетворение своих денежных требований к должнику по этому обязательству из стоимости заложенного недвижимого имущества другой стороны - залогодателя преимущественно перед другими кредиторами залогодателя, за изъятиями, ус</w:t>
      </w:r>
      <w:r>
        <w:rPr>
          <w:lang w:val="en-BE" w:eastAsia="en-BE" w:bidi="ar-SA"/>
        </w:rPr>
        <w:t>тановленными федеральным законом (пункт 1).</w:t>
      </w:r>
    </w:p>
    <w:p w14:paraId="6967BDF1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 залогу недвижимого имущества, возникающему на основании федерального закона при наступлении указанных в нем обстоятельств, соответственно применяются правила о залоге, возникающем в силу договора об ипотеке, ес</w:t>
      </w:r>
      <w:r>
        <w:rPr>
          <w:lang w:val="en-BE" w:eastAsia="en-BE" w:bidi="ar-SA"/>
        </w:rPr>
        <w:t>ли федеральным законом не установлено иное (пункт 2).</w:t>
      </w:r>
    </w:p>
    <w:p w14:paraId="4BEEC2C8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 1 статьи 2 Закона об ипотеке предусматривает, что ипотека может быть установлена в обеспечение обязательства по кредитному договору, по договору займа или иного обязательства, в том числе обязател</w:t>
      </w:r>
      <w:r>
        <w:rPr>
          <w:lang w:val="en-BE" w:eastAsia="en-BE" w:bidi="ar-SA"/>
        </w:rPr>
        <w:t>ьства, основанного на купле-продаже, аренде, подряде, другом договоре, причинении вреда, если иное не предусмотрено федеральным законом.</w:t>
      </w:r>
    </w:p>
    <w:p w14:paraId="21B352A4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в пункте 1 статьи 5 названного Закона указано, что по договору об ипотеке может быть заложено недвижимое имуще</w:t>
      </w:r>
      <w:r>
        <w:rPr>
          <w:lang w:val="en-BE" w:eastAsia="en-BE" w:bidi="ar-SA"/>
        </w:rPr>
        <w:t>ство, указанное в пункте 1 статьи 130 Гражданского кодекса Российской Федерации, права на которое зарегистрированы в порядке, установленном для государственной регистрации прав на недвижимое имущество и сделок с ним, в том числе жилые дома, квартиры и част</w:t>
      </w:r>
      <w:r>
        <w:rPr>
          <w:lang w:val="en-BE" w:eastAsia="en-BE" w:bidi="ar-SA"/>
        </w:rPr>
        <w:t>и жилых домов и квартир, состоящие из одной или нескольких изолированных комнат.</w:t>
      </w:r>
    </w:p>
    <w:p w14:paraId="77762B3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2 статьи 6 Закона об ипотеке не допускается ипотека имущества, изъятого из оборота, имущества, на которое в соответствии с федеральным законом не может быть обра</w:t>
      </w:r>
      <w:r>
        <w:rPr>
          <w:lang w:val="en-BE" w:eastAsia="en-BE" w:bidi="ar-SA"/>
        </w:rPr>
        <w:t>щено взыскание, а также имущества, в отношении которого в установленном федеральным законом порядке предусмотрена обязательная приватизация либо приватизация которого запрещена.</w:t>
      </w:r>
    </w:p>
    <w:p w14:paraId="0B644AA0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74 Закона об ипотеке правила главы XIII данного Закона, устана</w:t>
      </w:r>
      <w:r>
        <w:rPr>
          <w:lang w:val="en-BE" w:eastAsia="en-BE" w:bidi="ar-SA"/>
        </w:rPr>
        <w:t>вливающей особенности ипотеки жилых домов и квартир, применяются к ипотеке предназначенных для постоянного проживания индивидуальных и многоквартирных жилых домов и квартир, принадлежащих на праве собственности гражданам или юридическим лицам.</w:t>
      </w:r>
    </w:p>
    <w:p w14:paraId="218FA2C9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</w:t>
      </w:r>
      <w:r>
        <w:rPr>
          <w:lang w:val="en-BE" w:eastAsia="en-BE" w:bidi="ar-SA"/>
        </w:rPr>
        <w:t>атьи 78 названного Закона предусмотрено, что обращение залогодержателем взыскания на заложенные жилой дом или квартиру и реализация этого имущества являются основанием для прекращения права пользования ими залогодателя и любых иных лиц, проживающих в таких</w:t>
      </w:r>
      <w:r>
        <w:rPr>
          <w:lang w:val="en-BE" w:eastAsia="en-BE" w:bidi="ar-SA"/>
        </w:rPr>
        <w:t xml:space="preserve"> жилом доме или квартире, при условии, что такие жилой дом или квартира были заложены по договору об ипотеке либо по ипотеке в силу закона в обеспечение возврата кредита или целевого займа, предоставленных банком или иной кредитной организацией либо другим</w:t>
      </w:r>
      <w:r>
        <w:rPr>
          <w:lang w:val="en-BE" w:eastAsia="en-BE" w:bidi="ar-SA"/>
        </w:rPr>
        <w:t xml:space="preserve"> юридическим лицом на приобретение или строительство таких или иных жилого дома или квартиры, их капитальный ремонт или иное неотделимое улучшение, а также на погашение ранее предоставленных кредита или займа на приобретение или строительство жилого дома и</w:t>
      </w:r>
      <w:r>
        <w:rPr>
          <w:lang w:val="en-BE" w:eastAsia="en-BE" w:bidi="ar-SA"/>
        </w:rPr>
        <w:t>ли квартиры. Освобождение таких жилого дома или квартиры осуществляется в порядке, установленном федеральным законом.</w:t>
      </w:r>
    </w:p>
    <w:p w14:paraId="1E64B78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из приведенных положений законов в их взаимосвязи следует, что граждане своей волей и в своем интересе могут распоряжаться </w:t>
      </w:r>
      <w:r>
        <w:rPr>
          <w:lang w:val="en-BE" w:eastAsia="en-BE" w:bidi="ar-SA"/>
        </w:rPr>
        <w:t>принадлежащими им имуществом, в том числе отдавать его в залог в обеспечение принятых на себя обязательств, при этом обращение взыскания на заложенную квартиру возможно как в случае, когда такая квартира заложена по договору об ипотеке (независимо от того,</w:t>
      </w:r>
      <w:r>
        <w:rPr>
          <w:lang w:val="en-BE" w:eastAsia="en-BE" w:bidi="ar-SA"/>
        </w:rPr>
        <w:t xml:space="preserve"> на какие цели предоставлен заем (кредит), так и по ипотеке в силу закона, в частности, в силу закона ипотека возникает, если жилое помещение приобретено либо построено полностью или частично с использованием кредитных средств банка или иной кредитной орга</w:t>
      </w:r>
      <w:r>
        <w:rPr>
          <w:lang w:val="en-BE" w:eastAsia="en-BE" w:bidi="ar-SA"/>
        </w:rPr>
        <w:t>низации либо средств целевого займа, предоставленного другим юридическим лицом на приобретение или строительство указанного жилого помещения (пункт 1 статьи 77 Закона об ипотеке).</w:t>
      </w:r>
    </w:p>
    <w:p w14:paraId="18E0E2C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Распространяя на обеспеченные договорной и законной ипотекой обязательства о</w:t>
      </w:r>
      <w:r>
        <w:rPr>
          <w:lang w:val="en-BE" w:eastAsia="en-BE" w:bidi="ar-SA"/>
        </w:rPr>
        <w:t>бщее правило об ответственности должника всем своим имуществом, указанные законоположения направлены на достижение баланса прав и законных интересов взыскателей и должников и служат для реализации положений, закрепленных статьями 17 (часть 3), 3 и 46 (част</w:t>
      </w:r>
      <w:r>
        <w:rPr>
          <w:lang w:val="en-BE" w:eastAsia="en-BE" w:bidi="ar-SA"/>
        </w:rPr>
        <w:t>ь 1) Конституции Российской Федерации.</w:t>
      </w:r>
    </w:p>
    <w:p w14:paraId="06698D8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 действующее законодательство, в том числе и Закон об ипотеке не содержит запрета на передачу гражданами в залог по договору ипотеки принадлежащих им помещений, в том числе тех, которые являются единственными </w:t>
      </w:r>
      <w:r>
        <w:rPr>
          <w:lang w:val="en-BE" w:eastAsia="en-BE" w:bidi="ar-SA"/>
        </w:rPr>
        <w:t>пригодными для их проживания, равно как и запрета на заключение договоров ипотеки, по которым залогодержателями и кредиторами являются граждане.</w:t>
      </w:r>
    </w:p>
    <w:p w14:paraId="1A66DFE4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судом установлен факт ненадлежащего исполнения должником обеспеченного залогом обязательства, а д</w:t>
      </w:r>
      <w:r>
        <w:rPr>
          <w:lang w:val="en-BE" w:eastAsia="en-BE" w:bidi="ar-SA"/>
        </w:rPr>
        <w:t xml:space="preserve">опущенное ответчиком нарушение обеспеченного залогом обязательства в силу закона не может быть признано судом незначительным, суд в соответствии со ст.ст. 348, 349 ГК РФ находит возможным обратить взыскание на заложенное имущество – принадлежащую на праве </w:t>
      </w:r>
      <w:r>
        <w:rPr>
          <w:lang w:val="en-BE" w:eastAsia="en-BE" w:bidi="ar-SA"/>
        </w:rPr>
        <w:t xml:space="preserve">собственности Трофимову А.Л. квартиру № </w:t>
      </w:r>
      <w:r>
        <w:rPr>
          <w:rStyle w:val="cat-UserDefinedgrp-33rplc-77"/>
          <w:lang w:val="en-BE" w:eastAsia="en-BE" w:bidi="ar-SA"/>
        </w:rPr>
        <w:t>...</w:t>
      </w:r>
      <w:r>
        <w:rPr>
          <w:lang w:val="en-BE" w:eastAsia="en-BE" w:bidi="ar-SA"/>
        </w:rPr>
        <w:t xml:space="preserve">, этаж 8, количество комнат – 2, площадь квартиры – 62.3 кв.м., расположенную в жилом доме № 2 по адресу: </w:t>
      </w:r>
      <w:r>
        <w:rPr>
          <w:rStyle w:val="cat-Addressgrp-1rplc-7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кадастровый номер </w:t>
      </w:r>
      <w:r>
        <w:rPr>
          <w:rStyle w:val="cat-UserDefinedgrp-32rplc-79"/>
          <w:lang w:val="en-BE" w:eastAsia="en-BE" w:bidi="ar-SA"/>
        </w:rPr>
        <w:t>...</w:t>
      </w:r>
      <w:r>
        <w:rPr>
          <w:lang w:val="en-BE" w:eastAsia="en-BE" w:bidi="ar-SA"/>
        </w:rPr>
        <w:t>, с последующей продажей заложенного товара с публичных торгов с объявлением на</w:t>
      </w:r>
      <w:r>
        <w:rPr>
          <w:lang w:val="en-BE" w:eastAsia="en-BE" w:bidi="ar-SA"/>
        </w:rPr>
        <w:t xml:space="preserve">чальной продажной цены в размере восьмидесяти процентов рыночной стоимости, определенной в отчете ООО «Мобильный Оценщик» №2988600/1-210330-494 от 31.03.2021, в сумме 6 154 400 руб. </w:t>
      </w:r>
    </w:p>
    <w:p w14:paraId="77A7E69F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удовлетворении данных требований суд также учитывает, что в силу норм</w:t>
      </w:r>
      <w:r>
        <w:rPr>
          <w:lang w:val="en-BE" w:eastAsia="en-BE" w:bidi="ar-SA"/>
        </w:rPr>
        <w:t xml:space="preserve"> ГК РФ о залоге, в случае, если сумма, вырученная при реализации заложенного имущества, превышает размер обеспеченного залогом требования залогодержателя, разница возвращается залогодателю.</w:t>
      </w:r>
    </w:p>
    <w:p w14:paraId="7F4755D2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94, ст. 98 ГПК РФ с ответчиков солидарно в п</w:t>
      </w:r>
      <w:r>
        <w:rPr>
          <w:lang w:val="en-BE" w:eastAsia="en-BE" w:bidi="ar-SA"/>
        </w:rPr>
        <w:t xml:space="preserve">ользу истца подлежат взысканию расходы по оплате оценки предмета залога в размере 579 руб. 14 коп., а также государственная пошлина, уплаченная истцом при подаче в суд искового заявления в размере 27 942 руб. 12 коп.    </w:t>
      </w:r>
    </w:p>
    <w:p w14:paraId="6EB4676D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руководствуясь</w:t>
      </w:r>
      <w:r>
        <w:rPr>
          <w:lang w:val="en-BE" w:eastAsia="en-BE" w:bidi="ar-SA"/>
        </w:rPr>
        <w:t xml:space="preserve"> ст. ст. 194-198 ГПК РФ, суд</w:t>
      </w:r>
    </w:p>
    <w:p w14:paraId="19F0B078" w14:textId="77777777" w:rsidR="00000000" w:rsidRDefault="001E44FF">
      <w:pPr>
        <w:ind w:firstLine="709"/>
        <w:jc w:val="center"/>
        <w:rPr>
          <w:lang w:val="en-BE" w:eastAsia="en-BE" w:bidi="ar-SA"/>
        </w:rPr>
      </w:pPr>
    </w:p>
    <w:p w14:paraId="41AEA66A" w14:textId="77777777" w:rsidR="00000000" w:rsidRDefault="001E44F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432FA89" w14:textId="77777777" w:rsidR="00000000" w:rsidRDefault="001E44FF">
      <w:pPr>
        <w:ind w:firstLine="709"/>
        <w:jc w:val="both"/>
        <w:rPr>
          <w:lang w:val="en-BE" w:eastAsia="en-BE" w:bidi="ar-SA"/>
        </w:rPr>
      </w:pPr>
    </w:p>
    <w:p w14:paraId="12C2454B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к Трофимову Андрею Леонидовичу, Чулковой Ирине Анатольевне о расторжении кредитного договора, взыскании задолженности по кредитному договору</w:t>
      </w:r>
      <w:r>
        <w:rPr>
          <w:lang w:val="en-BE" w:eastAsia="en-BE" w:bidi="ar-SA"/>
        </w:rPr>
        <w:t>, обращении взыскания на заложенное имущество и признании права собственности на объект недвижимости - удовлетворить.</w:t>
      </w:r>
    </w:p>
    <w:p w14:paraId="41E91AD3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№47847312, заключенный 13.05.2014 года между ПАО Сбербанк в лице филиала – Московский банк ПАО Сбербанк и Тр</w:t>
      </w:r>
      <w:r>
        <w:rPr>
          <w:lang w:val="en-BE" w:eastAsia="en-BE" w:bidi="ar-SA"/>
        </w:rPr>
        <w:t>офимовым Андреем Леонидовичем.</w:t>
      </w:r>
    </w:p>
    <w:p w14:paraId="26B6DC8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Трофимова Андрея Леонидовича, Чулковой Ирины Анатольевны в пользу ПАО Сбербанк в лице филиала – Московский банк ПАО Сбербанк задолженность по кредитному договору №47847312 от 13.05.2014 в сумме 2 517 899 </w:t>
      </w:r>
      <w:r>
        <w:rPr>
          <w:lang w:val="en-BE" w:eastAsia="en-BE" w:bidi="ar-SA"/>
        </w:rPr>
        <w:t>руб. 52 коп., расходы по оплате государственной пошлины 27 942 руб. 12 коп., расходы по оплате оценки предмета залога в размере 579 руб. 14 коп.</w:t>
      </w:r>
    </w:p>
    <w:p w14:paraId="50380D80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Признать за Трофимовым Андреем Леонидовичем право собственности на объект недвижимости – квартиру, расположенну</w:t>
      </w:r>
      <w:r>
        <w:rPr>
          <w:lang w:val="en-BE" w:eastAsia="en-BE" w:bidi="ar-SA"/>
        </w:rPr>
        <w:t xml:space="preserve">ю в жилом доме № 2, этаж – 8, номер квартиры – </w:t>
      </w:r>
      <w:r>
        <w:rPr>
          <w:rStyle w:val="cat-UserDefinedgrp-33rplc-92"/>
          <w:lang w:val="en-BE" w:eastAsia="en-BE" w:bidi="ar-SA"/>
        </w:rPr>
        <w:t>...</w:t>
      </w:r>
      <w:r>
        <w:rPr>
          <w:lang w:val="en-BE" w:eastAsia="en-BE" w:bidi="ar-SA"/>
        </w:rPr>
        <w:t xml:space="preserve">, количество комнат – 2, площадь квартиры – 62,3 кв.м., находящемся по адресу: </w:t>
      </w:r>
      <w:r>
        <w:rPr>
          <w:rStyle w:val="cat-Addressgrp-1rplc-9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(кадастровый номер </w:t>
      </w:r>
      <w:r>
        <w:rPr>
          <w:rStyle w:val="cat-UserDefinedgrp-32rplc-94"/>
          <w:lang w:val="en-BE" w:eastAsia="en-BE" w:bidi="ar-SA"/>
        </w:rPr>
        <w:t>...</w:t>
      </w:r>
      <w:r>
        <w:rPr>
          <w:lang w:val="en-BE" w:eastAsia="en-BE" w:bidi="ar-SA"/>
        </w:rPr>
        <w:t>), с обременением права в виде ипотеки в силу закона в пользу ПАО Сбербанк.</w:t>
      </w:r>
    </w:p>
    <w:p w14:paraId="116AC025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Обратить взыскание на к</w:t>
      </w:r>
      <w:r>
        <w:rPr>
          <w:lang w:val="en-BE" w:eastAsia="en-BE" w:bidi="ar-SA"/>
        </w:rPr>
        <w:t xml:space="preserve">вартиру, расположенную в жилом доме № 2, этаж – 8, номер квартиры – </w:t>
      </w:r>
      <w:r>
        <w:rPr>
          <w:rStyle w:val="cat-UserDefinedgrp-33rplc-95"/>
          <w:lang w:val="en-BE" w:eastAsia="en-BE" w:bidi="ar-SA"/>
        </w:rPr>
        <w:t>...</w:t>
      </w:r>
      <w:r>
        <w:rPr>
          <w:lang w:val="en-BE" w:eastAsia="en-BE" w:bidi="ar-SA"/>
        </w:rPr>
        <w:t xml:space="preserve">, количество комнат – 2, площадь квартиры – 62,3 кв.м., находящемся по адресу: </w:t>
      </w:r>
      <w:r>
        <w:rPr>
          <w:rStyle w:val="cat-Addressgrp-1rplc-9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4759FA59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Полученные от реализации денежные средства направить истцу в счет погашения задолженности по креди</w:t>
      </w:r>
      <w:r>
        <w:rPr>
          <w:lang w:val="en-BE" w:eastAsia="en-BE" w:bidi="ar-SA"/>
        </w:rPr>
        <w:t xml:space="preserve">тному договору №47847312 от 13.05.2014. </w:t>
      </w:r>
    </w:p>
    <w:p w14:paraId="61E5F6E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Установить начальную продажную цену предмета залога с учетом п. 4 ч. 2 ст. 54 ФЗ «Об ипотеке» равной восьмидесяти процентам рыночной стоимости такого имущества, определенной в отчете оценщика, то есть в размере 6 15</w:t>
      </w:r>
      <w:r>
        <w:rPr>
          <w:lang w:val="en-BE" w:eastAsia="en-BE" w:bidi="ar-SA"/>
        </w:rPr>
        <w:t>4 400 руб., определив способ реализации – путем продажи с публичных торгов.</w:t>
      </w:r>
    </w:p>
    <w:p w14:paraId="4E3EF70E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</w:t>
      </w:r>
      <w:r>
        <w:rPr>
          <w:lang w:val="en-BE" w:eastAsia="en-BE" w:bidi="ar-SA"/>
        </w:rPr>
        <w:t xml:space="preserve">уд </w:t>
      </w:r>
      <w:r>
        <w:rPr>
          <w:rStyle w:val="cat-Addressgrp-0rplc-9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6098B1D2" w14:textId="77777777" w:rsidR="00000000" w:rsidRDefault="001E44FF">
      <w:pPr>
        <w:ind w:firstLine="709"/>
        <w:jc w:val="center"/>
        <w:rPr>
          <w:lang w:val="en-BE" w:eastAsia="en-BE" w:bidi="ar-SA"/>
        </w:rPr>
      </w:pPr>
    </w:p>
    <w:p w14:paraId="5CEAA80B" w14:textId="77777777" w:rsidR="00000000" w:rsidRDefault="001E44FF">
      <w:pPr>
        <w:ind w:firstLine="709"/>
        <w:jc w:val="center"/>
        <w:rPr>
          <w:lang w:val="en-BE" w:eastAsia="en-BE" w:bidi="ar-SA"/>
        </w:rPr>
      </w:pPr>
    </w:p>
    <w:p w14:paraId="313D9746" w14:textId="77777777" w:rsidR="00000000" w:rsidRDefault="001E44F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         М.А. Макляк  </w:t>
      </w:r>
    </w:p>
    <w:p w14:paraId="22E113C6" w14:textId="77777777" w:rsidR="00000000" w:rsidRDefault="001E44FF">
      <w:pPr>
        <w:ind w:firstLine="709"/>
        <w:jc w:val="center"/>
        <w:rPr>
          <w:lang w:val="en-BE" w:eastAsia="en-BE" w:bidi="ar-SA"/>
        </w:rPr>
      </w:pPr>
    </w:p>
    <w:p w14:paraId="2FC06760" w14:textId="77777777" w:rsidR="00000000" w:rsidRDefault="001E44FF">
      <w:pPr>
        <w:ind w:firstLine="709"/>
        <w:rPr>
          <w:lang w:val="en-BE" w:eastAsia="en-BE" w:bidi="ar-SA"/>
        </w:rPr>
      </w:pPr>
    </w:p>
    <w:p w14:paraId="034A9C8E" w14:textId="77777777" w:rsidR="00000000" w:rsidRDefault="001E44FF">
      <w:pPr>
        <w:ind w:firstLine="709"/>
        <w:rPr>
          <w:lang w:val="en-BE" w:eastAsia="en-BE" w:bidi="ar-SA"/>
        </w:rPr>
      </w:pPr>
    </w:p>
    <w:p w14:paraId="60649C6C" w14:textId="77777777" w:rsidR="00000000" w:rsidRDefault="001E44FF">
      <w:pPr>
        <w:ind w:firstLine="709"/>
        <w:rPr>
          <w:lang w:val="en-BE" w:eastAsia="en-BE" w:bidi="ar-SA"/>
        </w:rPr>
      </w:pPr>
    </w:p>
    <w:p w14:paraId="0ED1B4DB" w14:textId="77777777" w:rsidR="00000000" w:rsidRDefault="001E44FF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29 июля 2022 года.</w:t>
      </w:r>
    </w:p>
    <w:p w14:paraId="1E13E2F8" w14:textId="77777777" w:rsidR="00000000" w:rsidRDefault="001E44FF">
      <w:pPr>
        <w:ind w:firstLine="709"/>
        <w:jc w:val="center"/>
        <w:rPr>
          <w:lang w:val="en-BE" w:eastAsia="en-BE" w:bidi="ar-SA"/>
        </w:rPr>
      </w:pPr>
    </w:p>
    <w:p w14:paraId="7BF6FA6A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4CF1A8CC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6DE57059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16140929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19B02311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153E0D5C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08932F28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1184D5DE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300D724D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0EE6C6D9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46672243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7D9A3D5A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21309DCF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6122C844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0E69D024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0C62BD16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42FCBDD3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750B1068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44814DEE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2F978FE2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6477A492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5CF15C37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326B8864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625C3912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07065217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1887FB13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33B7BCA7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tbl>
      <w:tblPr>
        <w:tblpPr w:leftFromText="180" w:rightFromText="180" w:vertAnchor="text" w:tblpY="1"/>
        <w:tblOverlap w:val="never"/>
        <w:tblW w:w="9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1325"/>
        <w:gridCol w:w="3829"/>
      </w:tblGrid>
      <w:tr w:rsidR="00000000" w14:paraId="1F5FA32F" w14:textId="77777777">
        <w:trPr>
          <w:trHeight w:val="2949"/>
        </w:trPr>
        <w:tc>
          <w:tcPr>
            <w:tcW w:w="4714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ACD27B7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РОССИЙСКАЯ ФЕДЕР</w:t>
            </w:r>
            <w:r>
              <w:rPr>
                <w:b/>
                <w:bCs/>
                <w:color w:val="000000"/>
                <w:lang w:val="en-BE" w:eastAsia="en-BE" w:bidi="ar-SA"/>
              </w:rPr>
              <w:t>АЦИЯ</w:t>
            </w:r>
          </w:p>
          <w:p w14:paraId="1B79512E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Тимирязевский районный суд</w:t>
            </w:r>
          </w:p>
          <w:p w14:paraId="182BFFF2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100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6B069D29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77C81B36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5rplc-101"/>
                <w:color w:val="000000"/>
                <w:lang w:val="en-BE" w:eastAsia="en-BE" w:bidi="ar-SA"/>
              </w:rPr>
              <w:t>адрес</w:t>
            </w:r>
          </w:p>
          <w:p w14:paraId="52C8E76B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6rplc-102"/>
                <w:color w:val="000000"/>
                <w:lang w:val="en-BE" w:eastAsia="en-BE" w:bidi="ar-SA"/>
              </w:rPr>
              <w:t>адрес</w:t>
            </w:r>
          </w:p>
          <w:p w14:paraId="0062D701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Тел.: </w:t>
            </w:r>
            <w:r>
              <w:rPr>
                <w:rStyle w:val="cat-PhoneNumbergrp-31rplc-103"/>
                <w:color w:val="000000"/>
                <w:lang w:val="en-BE" w:eastAsia="en-BE" w:bidi="ar-SA"/>
              </w:rPr>
              <w:t>телефон</w:t>
            </w:r>
            <w:r>
              <w:rPr>
                <w:color w:val="000000"/>
                <w:lang w:val="en-BE" w:eastAsia="en-BE" w:bidi="ar-SA"/>
              </w:rPr>
              <w:t>; факс 8(495)482-21-85</w:t>
            </w:r>
          </w:p>
          <w:p w14:paraId="6ADF00C0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E-mail: </w:t>
            </w:r>
            <w:hyperlink r:id="rId5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timiryazevsky.msk@sudrf.ru</w:t>
              </w:r>
            </w:hyperlink>
            <w:r>
              <w:rPr>
                <w:color w:val="000000"/>
                <w:lang w:val="en-BE" w:eastAsia="en-BE" w:bidi="ar-SA"/>
              </w:rPr>
              <w:t xml:space="preserve">; </w:t>
            </w:r>
            <w:hyperlink r:id="rId6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http://timiryazevsky.msk.sudrf.r</w:t>
              </w:r>
              <w:r>
                <w:rPr>
                  <w:color w:val="0000EE"/>
                  <w:u w:val="single" w:color="0000EE"/>
                  <w:lang w:val="en-BE" w:eastAsia="en-BE" w:bidi="ar-SA"/>
                </w:rPr>
                <w:t>u</w:t>
              </w:r>
            </w:hyperlink>
          </w:p>
          <w:p w14:paraId="082CB938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36CA57C3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№ </w:t>
            </w:r>
            <w:r>
              <w:rPr>
                <w:color w:val="000000"/>
                <w:u w:val="single" w:color="000000"/>
                <w:lang w:val="en-BE" w:eastAsia="en-BE" w:bidi="ar-SA"/>
              </w:rPr>
              <w:t>_            2-447/22</w:t>
            </w:r>
          </w:p>
        </w:tc>
        <w:tc>
          <w:tcPr>
            <w:tcW w:w="132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0B959315" w14:textId="77777777" w:rsidR="00000000" w:rsidRDefault="001E44FF">
            <w:pPr>
              <w:keepNext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382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04384BCC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ПАО Сбербанк в лице филиала – Московский банк ПАО Сбербанк </w:t>
            </w:r>
          </w:p>
          <w:p w14:paraId="7EC0894D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3B605804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Трофимову А.Л.</w:t>
            </w:r>
          </w:p>
          <w:p w14:paraId="7A1D73D5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56F19F2C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Чулковой И.А.</w:t>
            </w:r>
          </w:p>
          <w:p w14:paraId="0E74514D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</w:tr>
    </w:tbl>
    <w:p w14:paraId="3303FBFF" w14:textId="77777777" w:rsidR="00000000" w:rsidRDefault="001E44FF">
      <w:pPr>
        <w:widowControl w:val="0"/>
        <w:spacing w:line="276" w:lineRule="auto"/>
        <w:ind w:firstLine="709"/>
        <w:jc w:val="center"/>
        <w:rPr>
          <w:lang w:val="en-BE" w:eastAsia="en-BE" w:bidi="ar-SA"/>
        </w:rPr>
      </w:pPr>
    </w:p>
    <w:p w14:paraId="3AE728C6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5114042D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0rplc-10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мотивированного решения суда по гражданскому делу №2-447/2022 по ПАО Сбербанк </w:t>
      </w:r>
      <w:r>
        <w:rPr>
          <w:lang w:val="en-BE" w:eastAsia="en-BE" w:bidi="ar-SA"/>
        </w:rPr>
        <w:t>в лице филиала – Московский банк ПАО Сбербанк к Трофимову Андрею Леонидовичу, Чулковой Ирине Анатольевне о расторжении кредитного договора, взыскании задолженности по кредитному договору, обращении взыскания на заложенное имущество и признании права собств</w:t>
      </w:r>
      <w:r>
        <w:rPr>
          <w:lang w:val="en-BE" w:eastAsia="en-BE" w:bidi="ar-SA"/>
        </w:rPr>
        <w:t>енности на объект недвижимости.</w:t>
      </w:r>
    </w:p>
    <w:p w14:paraId="07F120CC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4883DB8B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М.А. Макляк</w:t>
      </w:r>
    </w:p>
    <w:p w14:paraId="058A4E7F" w14:textId="77777777" w:rsidR="00000000" w:rsidRDefault="001E44FF">
      <w:pPr>
        <w:spacing w:line="276" w:lineRule="auto"/>
        <w:ind w:firstLine="709"/>
        <w:rPr>
          <w:lang w:val="en-BE" w:eastAsia="en-BE" w:bidi="ar-SA"/>
        </w:rPr>
      </w:pPr>
    </w:p>
    <w:p w14:paraId="25F2204D" w14:textId="77777777" w:rsidR="00000000" w:rsidRDefault="001E44FF">
      <w:pPr>
        <w:spacing w:line="276" w:lineRule="auto"/>
        <w:ind w:firstLine="709"/>
        <w:rPr>
          <w:lang w:val="en-BE" w:eastAsia="en-BE" w:bidi="ar-SA"/>
        </w:rPr>
      </w:pPr>
    </w:p>
    <w:p w14:paraId="54CDEC5C" w14:textId="77777777" w:rsidR="00000000" w:rsidRDefault="001E44FF">
      <w:pPr>
        <w:spacing w:line="276" w:lineRule="auto"/>
        <w:ind w:firstLine="709"/>
        <w:rPr>
          <w:sz w:val="22"/>
          <w:szCs w:val="22"/>
          <w:lang w:val="en-BE" w:eastAsia="en-BE" w:bidi="ar-SA"/>
        </w:rPr>
      </w:pPr>
    </w:p>
    <w:p w14:paraId="7AF15CB6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187EA369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4D4FBF32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0766C905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0D3A6EDB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15BB7737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53D94089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508DB384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672CB06F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3879783A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2706241C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31A41440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7EA99910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4B61F565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081003D4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696F9136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7822C378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68B1C049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062AADBB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2E57800E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6DD85780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1FA1AF1B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18C75DFA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336CF805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76739421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4B06BEA8" w14:textId="77777777" w:rsidR="00000000" w:rsidRDefault="001E44F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77RS0028-02-2022-001368-04</w:t>
      </w:r>
    </w:p>
    <w:p w14:paraId="5CCD18DB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433F83FE" w14:textId="77777777" w:rsidR="00000000" w:rsidRDefault="001E44F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2-1351/2022</w:t>
      </w:r>
    </w:p>
    <w:p w14:paraId="76B77977" w14:textId="77777777" w:rsidR="00000000" w:rsidRDefault="001E44FF">
      <w:pPr>
        <w:ind w:firstLine="709"/>
        <w:jc w:val="right"/>
        <w:rPr>
          <w:lang w:val="en-BE" w:eastAsia="en-BE" w:bidi="ar-SA"/>
        </w:rPr>
      </w:pPr>
    </w:p>
    <w:p w14:paraId="77BBD465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7BD024CB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ОПРЕДЕЛЕНИЕ</w:t>
      </w:r>
    </w:p>
    <w:p w14:paraId="7B20748E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272472AF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февраля 2022 года                    </w:t>
      </w:r>
      <w:r>
        <w:rPr>
          <w:lang w:val="en-BE" w:eastAsia="en-BE" w:bidi="ar-SA"/>
        </w:rPr>
        <w:t xml:space="preserve">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7rplc-110"/>
          <w:lang w:val="en-BE" w:eastAsia="en-BE" w:bidi="ar-SA"/>
        </w:rPr>
        <w:t>адрес</w:t>
      </w:r>
    </w:p>
    <w:p w14:paraId="3C506A3B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1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рассмотрев ходатайство ПАО Сбербанк в лице филиала – Московский банк ПАО Сбербанк по гражданскому делу  №2-1350/2022 по ПАО Сбербанк в лице </w:t>
      </w:r>
      <w:r>
        <w:rPr>
          <w:lang w:val="en-BE" w:eastAsia="en-BE" w:bidi="ar-SA"/>
        </w:rPr>
        <w:t xml:space="preserve">филиала – Московский банк ПАО Сбербанк к Трофимову Андрею Леонидовичу о расторжении кредитного договора, взыскании задолженности, </w:t>
      </w:r>
    </w:p>
    <w:p w14:paraId="74083E49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 С Т А Н О В И Л:</w:t>
      </w:r>
    </w:p>
    <w:p w14:paraId="7B4A6316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– Московского банка ПАО Сбербанк обратился в суд с иском о взыскании задолженн</w:t>
      </w:r>
      <w:r>
        <w:rPr>
          <w:lang w:val="en-BE" w:eastAsia="en-BE" w:bidi="ar-SA"/>
        </w:rPr>
        <w:t xml:space="preserve">ости с ответчика </w:t>
      </w:r>
      <w:r>
        <w:rPr>
          <w:rStyle w:val="cat-FIOgrp-19rplc-1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котором содержится ходатайство о принятии мер по обеспечению иска, в виде наложения ареста на имущество ответчика в пределах заявленных исковых требований – 579107 руб. 62 коп. </w:t>
      </w:r>
    </w:p>
    <w:p w14:paraId="6FC84AD6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Ознакомившись с заявлением, суд приходит к выводу, что </w:t>
      </w:r>
      <w:r>
        <w:rPr>
          <w:lang w:val="en-BE" w:eastAsia="en-BE" w:bidi="ar-SA"/>
        </w:rPr>
        <w:t>в принятии мер по обеспечению иска в виде наложения ареста на имущество следует отказать по следующим основаниям.</w:t>
      </w:r>
    </w:p>
    <w:p w14:paraId="71EBD9B8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ст. 139 ГПК РФ, суд по заявлению гражданина или по своей инициативе может принять меры к обеспечению иска, если н</w:t>
      </w:r>
      <w:r>
        <w:rPr>
          <w:lang w:val="en-BE" w:eastAsia="en-BE" w:bidi="ar-SA"/>
        </w:rPr>
        <w:t>епринятие этих мер может существенно затруднить или сделать невозможным исполнение решения суда; принятие мер по обеспечению возможно в любом положении дела.</w:t>
      </w:r>
    </w:p>
    <w:p w14:paraId="000C49EE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3 ст. 140 ГПК РФ меры по обеспечению иска должны быть соразмерны заявленному истцом тр</w:t>
      </w:r>
      <w:r>
        <w:rPr>
          <w:lang w:val="en-BE" w:eastAsia="en-BE" w:bidi="ar-SA"/>
        </w:rPr>
        <w:t>ебованию.</w:t>
      </w:r>
    </w:p>
    <w:p w14:paraId="727CDA18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смыслу ст. 139 ГПК РФ заявитель должен обосновать причины обращения с требованием о применении обеспечительных мер.</w:t>
      </w:r>
    </w:p>
    <w:p w14:paraId="3AC7B21F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решении вопроса о принятии мер по обеспечению иска суд обязан оценивать разумность и обоснованность требования заявителя о </w:t>
      </w:r>
      <w:r>
        <w:rPr>
          <w:lang w:val="en-BE" w:eastAsia="en-BE" w:bidi="ar-SA"/>
        </w:rPr>
        <w:t>применении обеспечительных мер; вероятность причинения заявителю значительного ущерба в случае непринятия обеспечительных мер; обеспечение баланса интересов заинтересованных сторон; предотвращение нарушения при принятии обеспечительных мер публичных интере</w:t>
      </w:r>
      <w:r>
        <w:rPr>
          <w:lang w:val="en-BE" w:eastAsia="en-BE" w:bidi="ar-SA"/>
        </w:rPr>
        <w:t>сов, интересов третьих лиц.</w:t>
      </w:r>
    </w:p>
    <w:p w14:paraId="1A092A01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рассмотрении вопроса о принятии обеспечительных мер, суд должен исходить из того, что защита интересов одной стороны не может осуществляться за счет необоснованного ущемления прав и интересов другой стороны, а также третьих </w:t>
      </w:r>
      <w:r>
        <w:rPr>
          <w:lang w:val="en-BE" w:eastAsia="en-BE" w:bidi="ar-SA"/>
        </w:rPr>
        <w:t>лиц.</w:t>
      </w:r>
    </w:p>
    <w:p w14:paraId="6C9D1A90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Доказывание наличия обстоятельств, указанных в ст. 139 ГПК РФ, возложено на заявителя, который должен обосновать причины обращения с заявлением об обеспечении иска конкретными обстоятельствами, подтверждающими необходимость принятия обеспечительных ме</w:t>
      </w:r>
      <w:r>
        <w:rPr>
          <w:lang w:val="en-BE" w:eastAsia="en-BE" w:bidi="ar-SA"/>
        </w:rPr>
        <w:t>р, и представить доказательства, подтверждающие доводы.</w:t>
      </w:r>
    </w:p>
    <w:p w14:paraId="6210FAF9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 достоверных и допустимых доказательств, свидетельствующих о том, что непринятие мер по обеспечению иска может затруднить или сделать невозможным исполнение решение суда, ПАО Сбербанк в лице </w:t>
      </w:r>
      <w:r>
        <w:rPr>
          <w:lang w:val="en-BE" w:eastAsia="en-BE" w:bidi="ar-SA"/>
        </w:rPr>
        <w:t>филиала – Московского банка ПАО Сбербанк не представлено, в связи с чем, суд приходит к выводу, что ходатайство истца о наложении ареста на имущество, подлежит отклонению.</w:t>
      </w:r>
    </w:p>
    <w:p w14:paraId="40791B9E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01254B3A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0EC3A6D9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02E47DD9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12BC907D" w14:textId="77777777" w:rsidR="00000000" w:rsidRDefault="001E44FF">
      <w:pPr>
        <w:spacing w:line="276" w:lineRule="auto"/>
        <w:ind w:firstLine="709"/>
        <w:rPr>
          <w:lang w:val="en-BE" w:eastAsia="en-BE" w:bidi="ar-SA"/>
        </w:rPr>
      </w:pPr>
      <w:r>
        <w:rPr>
          <w:lang w:val="en-BE" w:eastAsia="en-BE" w:bidi="ar-SA"/>
        </w:rPr>
        <w:t xml:space="preserve">         На основании изложенного и руководствуясь ст. 139-141 ГПК РФ, суд</w:t>
      </w:r>
    </w:p>
    <w:p w14:paraId="66FFD268" w14:textId="77777777" w:rsidR="00000000" w:rsidRDefault="001E44FF">
      <w:pPr>
        <w:spacing w:line="276" w:lineRule="auto"/>
        <w:ind w:firstLine="709"/>
        <w:rPr>
          <w:lang w:val="en-BE" w:eastAsia="en-BE" w:bidi="ar-SA"/>
        </w:rPr>
      </w:pPr>
    </w:p>
    <w:p w14:paraId="7F37C172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</w:t>
      </w:r>
      <w:r>
        <w:rPr>
          <w:lang w:val="en-BE" w:eastAsia="en-BE" w:bidi="ar-SA"/>
        </w:rPr>
        <w:t>ДЕЛИЛ:</w:t>
      </w:r>
    </w:p>
    <w:p w14:paraId="19053CE2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78FD7759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ходатайства ПАО Сбербанк в лице филиала – Московский банк ПАО Сбербанк к Трофимову Андрею Леонидовичу о расторжении кредитного договора, взыскании задолженности – отказать.</w:t>
      </w:r>
    </w:p>
    <w:p w14:paraId="2ED89BF3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определение может быть подана частная жалоба  в Московс</w:t>
      </w:r>
      <w:r>
        <w:rPr>
          <w:lang w:val="en-BE" w:eastAsia="en-BE" w:bidi="ar-SA"/>
        </w:rPr>
        <w:t xml:space="preserve">кий городской суд через Тимирязевский районный суд </w:t>
      </w:r>
      <w:r>
        <w:rPr>
          <w:rStyle w:val="cat-Addressgrp-0rplc-1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15 дней со дня вынесения определения.</w:t>
      </w:r>
    </w:p>
    <w:p w14:paraId="46E3949D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23C934FC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М.А. Макляк</w:t>
      </w:r>
    </w:p>
    <w:p w14:paraId="79027B3D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6F3ECF3D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57A14F92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627669FB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73CCA922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0D816D39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3947DE87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1530AB13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071FBD11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67A4DB63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3A81573B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0EFC4C5A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0009CAFA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12BC87BB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65AFB92B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215FA2E0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6CF81D20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058245D8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71BE34A0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28F5D111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7962453A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4A06A9EC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7CB19347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436C151C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2472B900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60300911" w14:textId="77777777" w:rsidR="00000000" w:rsidRDefault="001E44FF">
      <w:pPr>
        <w:widowControl w:val="0"/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tbl>
      <w:tblPr>
        <w:tblpPr w:leftFromText="180" w:rightFromText="180" w:vertAnchor="text" w:tblpY="1"/>
        <w:tblOverlap w:val="never"/>
        <w:tblW w:w="9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1325"/>
        <w:gridCol w:w="3829"/>
      </w:tblGrid>
      <w:tr w:rsidR="00000000" w14:paraId="3D9EA780" w14:textId="77777777">
        <w:trPr>
          <w:trHeight w:val="2949"/>
        </w:trPr>
        <w:tc>
          <w:tcPr>
            <w:tcW w:w="4714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DD8C9BD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РОССИЙСКАЯ ФЕДЕРАЦИЯ</w:t>
            </w:r>
          </w:p>
          <w:p w14:paraId="70C01519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Тимирязевский районный суд</w:t>
            </w:r>
          </w:p>
          <w:p w14:paraId="13F65E30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4rplc-119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6D8825E3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1B225620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5rplc-120"/>
                <w:color w:val="000000"/>
                <w:lang w:val="en-BE" w:eastAsia="en-BE" w:bidi="ar-SA"/>
              </w:rPr>
              <w:t>адрес</w:t>
            </w:r>
          </w:p>
          <w:p w14:paraId="0F4EC964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6rplc-121"/>
                <w:color w:val="000000"/>
                <w:lang w:val="en-BE" w:eastAsia="en-BE" w:bidi="ar-SA"/>
              </w:rPr>
              <w:t>адрес</w:t>
            </w:r>
          </w:p>
          <w:p w14:paraId="5C90CAE8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Тел.: </w:t>
            </w:r>
            <w:r>
              <w:rPr>
                <w:rStyle w:val="cat-PhoneNumbergrp-31rplc-122"/>
                <w:color w:val="000000"/>
                <w:lang w:val="en-BE" w:eastAsia="en-BE" w:bidi="ar-SA"/>
              </w:rPr>
              <w:t>телефон</w:t>
            </w:r>
            <w:r>
              <w:rPr>
                <w:color w:val="000000"/>
                <w:lang w:val="en-BE" w:eastAsia="en-BE" w:bidi="ar-SA"/>
              </w:rPr>
              <w:t>; факс 8(</w:t>
            </w:r>
            <w:r>
              <w:rPr>
                <w:color w:val="000000"/>
                <w:lang w:val="en-BE" w:eastAsia="en-BE" w:bidi="ar-SA"/>
              </w:rPr>
              <w:t>495)482-21-85</w:t>
            </w:r>
          </w:p>
          <w:p w14:paraId="39C50E5B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E-mail: </w:t>
            </w:r>
            <w:hyperlink r:id="rId7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timiryazevsky.msk@sudrf.ru</w:t>
              </w:r>
            </w:hyperlink>
            <w:r>
              <w:rPr>
                <w:color w:val="000000"/>
                <w:lang w:val="en-BE" w:eastAsia="en-BE" w:bidi="ar-SA"/>
              </w:rPr>
              <w:t xml:space="preserve">; </w:t>
            </w:r>
            <w:hyperlink r:id="rId8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http://timiryazevsky.msk.sudrf.ru</w:t>
              </w:r>
            </w:hyperlink>
          </w:p>
          <w:p w14:paraId="57C49E5C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2CFC1F71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№ </w:t>
            </w:r>
            <w:r>
              <w:rPr>
                <w:color w:val="000000"/>
                <w:u w:val="single" w:color="000000"/>
                <w:lang w:val="en-BE" w:eastAsia="en-BE" w:bidi="ar-SA"/>
              </w:rPr>
              <w:t>_            2-1351/22</w:t>
            </w:r>
          </w:p>
        </w:tc>
        <w:tc>
          <w:tcPr>
            <w:tcW w:w="132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5F4EFABB" w14:textId="77777777" w:rsidR="00000000" w:rsidRDefault="001E44FF">
            <w:pPr>
              <w:keepNext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382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73F5B91D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ПАО «Сбербанк</w:t>
            </w:r>
            <w:r>
              <w:rPr>
                <w:rStyle w:val="cat-Addressgrp-8rplc-123"/>
                <w:color w:val="000000"/>
                <w:lang w:val="en-BE" w:eastAsia="en-BE" w:bidi="ar-SA"/>
              </w:rPr>
              <w:t>адрес</w:t>
            </w:r>
          </w:p>
          <w:p w14:paraId="34CB7DEE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,</w:t>
            </w:r>
          </w:p>
          <w:p w14:paraId="7DAAD89E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9rplc-124"/>
                <w:color w:val="000000"/>
                <w:lang w:val="en-BE" w:eastAsia="en-BE" w:bidi="ar-SA"/>
              </w:rPr>
              <w:t>адрес</w:t>
            </w:r>
          </w:p>
          <w:p w14:paraId="1E451857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5BC38DA8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  <w:p w14:paraId="781E4DE1" w14:textId="77777777" w:rsidR="00000000" w:rsidRDefault="001E44FF">
            <w:pPr>
              <w:widowControl w:val="0"/>
              <w:spacing w:line="276" w:lineRule="auto"/>
              <w:ind w:firstLine="709"/>
              <w:jc w:val="center"/>
              <w:rPr>
                <w:color w:val="000000"/>
                <w:lang w:val="en-BE" w:eastAsia="en-BE" w:bidi="ar-SA"/>
              </w:rPr>
            </w:pPr>
          </w:p>
        </w:tc>
      </w:tr>
    </w:tbl>
    <w:p w14:paraId="0A8CAF99" w14:textId="77777777" w:rsidR="00000000" w:rsidRDefault="001E44FF">
      <w:pPr>
        <w:widowControl w:val="0"/>
        <w:spacing w:line="276" w:lineRule="auto"/>
        <w:ind w:firstLine="709"/>
        <w:jc w:val="center"/>
        <w:rPr>
          <w:lang w:val="en-BE" w:eastAsia="en-BE" w:bidi="ar-SA"/>
        </w:rPr>
      </w:pPr>
    </w:p>
    <w:p w14:paraId="523928BE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</w:p>
    <w:p w14:paraId="75DCE8A5" w14:textId="77777777" w:rsidR="00000000" w:rsidRDefault="001E44FF">
      <w:pPr>
        <w:spacing w:line="276" w:lineRule="auto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Тимирязевс</w:t>
      </w:r>
      <w:r>
        <w:rPr>
          <w:lang w:val="en-BE" w:eastAsia="en-BE" w:bidi="ar-SA"/>
        </w:rPr>
        <w:t xml:space="preserve">кий районный суд </w:t>
      </w:r>
      <w:r>
        <w:rPr>
          <w:rStyle w:val="cat-Addressgrp-0rplc-1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определения суда по гражданскому делу №2-1351/2022 по иску ПАО Сбербанк в лице филиала – Московского банка ПАО Сбербанк к Трофимову А.Л. о взыскании задолженности.</w:t>
      </w:r>
    </w:p>
    <w:p w14:paraId="36D60A29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</w:p>
    <w:p w14:paraId="4C50A96D" w14:textId="77777777" w:rsidR="00000000" w:rsidRDefault="001E44FF">
      <w:pPr>
        <w:spacing w:line="276" w:lineRule="auto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</w:t>
      </w:r>
      <w:r>
        <w:rPr>
          <w:lang w:val="en-BE" w:eastAsia="en-BE" w:bidi="ar-SA"/>
        </w:rPr>
        <w:t xml:space="preserve">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М.А. Макляк</w:t>
      </w:r>
    </w:p>
    <w:p w14:paraId="4D808EF7" w14:textId="77777777" w:rsidR="00000000" w:rsidRDefault="001E44FF">
      <w:pPr>
        <w:spacing w:line="276" w:lineRule="auto"/>
        <w:ind w:firstLine="709"/>
        <w:rPr>
          <w:lang w:val="en-BE" w:eastAsia="en-BE" w:bidi="ar-SA"/>
        </w:rPr>
      </w:pPr>
    </w:p>
    <w:p w14:paraId="57F987CD" w14:textId="77777777" w:rsidR="00000000" w:rsidRDefault="001E44FF">
      <w:pPr>
        <w:tabs>
          <w:tab w:val="left" w:pos="3746"/>
        </w:tabs>
        <w:spacing w:line="276" w:lineRule="auto"/>
        <w:ind w:firstLine="709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ab/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4FF"/>
    <w:rsid w:val="001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534C2FC"/>
  <w15:chartTrackingRefBased/>
  <w15:docId w15:val="{35B2FFBE-A1FF-4D2D-BB3A-96293174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13rplc-3">
    <w:name w:val="cat-FIO grp-13 rplc-3"/>
    <w:basedOn w:val="a0"/>
  </w:style>
  <w:style w:type="character" w:customStyle="1" w:styleId="cat-UserDefinedgrp-33rplc-15">
    <w:name w:val="cat-UserDefined grp-33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UserDefinedgrp-32rplc-17">
    <w:name w:val="cat-UserDefined grp-32 rplc-17"/>
    <w:basedOn w:val="a0"/>
  </w:style>
  <w:style w:type="character" w:customStyle="1" w:styleId="cat-UserDefinedgrp-33rplc-18">
    <w:name w:val="cat-UserDefined grp-33 rplc-18"/>
    <w:basedOn w:val="a0"/>
  </w:style>
  <w:style w:type="character" w:customStyle="1" w:styleId="cat-Addressgrp-1rplc-19">
    <w:name w:val="cat-Address grp-1 rplc-19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FIOgrp-13rplc-26">
    <w:name w:val="cat-FIO grp-13 rplc-26"/>
    <w:basedOn w:val="a0"/>
  </w:style>
  <w:style w:type="character" w:customStyle="1" w:styleId="cat-FIOgrp-19rplc-30">
    <w:name w:val="cat-FIO grp-19 rplc-30"/>
    <w:basedOn w:val="a0"/>
  </w:style>
  <w:style w:type="character" w:customStyle="1" w:styleId="cat-UserDefinedgrp-33rplc-36">
    <w:name w:val="cat-UserDefined grp-33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UserDefinedgrp-32rplc-38">
    <w:name w:val="cat-UserDefined grp-32 rplc-38"/>
    <w:basedOn w:val="a0"/>
  </w:style>
  <w:style w:type="character" w:customStyle="1" w:styleId="cat-UserDefinedgrp-33rplc-39">
    <w:name w:val="cat-UserDefined grp-33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Addressgrp-2rplc-44">
    <w:name w:val="cat-Address grp-2 rplc-44"/>
    <w:basedOn w:val="a0"/>
  </w:style>
  <w:style w:type="character" w:customStyle="1" w:styleId="cat-UserDefinedgrp-33rplc-46">
    <w:name w:val="cat-UserDefined grp-33 rplc-46"/>
    <w:basedOn w:val="a0"/>
  </w:style>
  <w:style w:type="character" w:customStyle="1" w:styleId="cat-FIOgrp-21rplc-52">
    <w:name w:val="cat-FIO grp-21 rplc-52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Addressgrp-2rplc-58">
    <w:name w:val="cat-Address grp-2 rplc-58"/>
    <w:basedOn w:val="a0"/>
  </w:style>
  <w:style w:type="character" w:customStyle="1" w:styleId="cat-UserDefinedgrp-33rplc-59">
    <w:name w:val="cat-UserDefined grp-33 rplc-59"/>
    <w:basedOn w:val="a0"/>
  </w:style>
  <w:style w:type="character" w:customStyle="1" w:styleId="cat-Addressgrp-3rplc-60">
    <w:name w:val="cat-Address grp-3 rplc-60"/>
    <w:basedOn w:val="a0"/>
  </w:style>
  <w:style w:type="character" w:customStyle="1" w:styleId="cat-FIOgrp-19rplc-71">
    <w:name w:val="cat-FIO grp-19 rplc-71"/>
    <w:basedOn w:val="a0"/>
  </w:style>
  <w:style w:type="character" w:customStyle="1" w:styleId="cat-UserDefinedgrp-33rplc-73">
    <w:name w:val="cat-UserDefined grp-33 rplc-73"/>
    <w:basedOn w:val="a0"/>
  </w:style>
  <w:style w:type="character" w:customStyle="1" w:styleId="cat-Addressgrp-1rplc-74">
    <w:name w:val="cat-Address grp-1 rplc-74"/>
    <w:basedOn w:val="a0"/>
  </w:style>
  <w:style w:type="character" w:customStyle="1" w:styleId="cat-UserDefinedgrp-32rplc-75">
    <w:name w:val="cat-UserDefined grp-32 rplc-75"/>
    <w:basedOn w:val="a0"/>
  </w:style>
  <w:style w:type="character" w:customStyle="1" w:styleId="cat-UserDefinedgrp-33rplc-77">
    <w:name w:val="cat-UserDefined grp-33 rplc-77"/>
    <w:basedOn w:val="a0"/>
  </w:style>
  <w:style w:type="character" w:customStyle="1" w:styleId="cat-Addressgrp-1rplc-78">
    <w:name w:val="cat-Address grp-1 rplc-78"/>
    <w:basedOn w:val="a0"/>
  </w:style>
  <w:style w:type="character" w:customStyle="1" w:styleId="cat-UserDefinedgrp-32rplc-79">
    <w:name w:val="cat-UserDefined grp-32 rplc-79"/>
    <w:basedOn w:val="a0"/>
  </w:style>
  <w:style w:type="character" w:customStyle="1" w:styleId="cat-UserDefinedgrp-33rplc-92">
    <w:name w:val="cat-UserDefined grp-33 rplc-92"/>
    <w:basedOn w:val="a0"/>
  </w:style>
  <w:style w:type="character" w:customStyle="1" w:styleId="cat-Addressgrp-1rplc-93">
    <w:name w:val="cat-Address grp-1 rplc-93"/>
    <w:basedOn w:val="a0"/>
  </w:style>
  <w:style w:type="character" w:customStyle="1" w:styleId="cat-UserDefinedgrp-32rplc-94">
    <w:name w:val="cat-UserDefined grp-32 rplc-94"/>
    <w:basedOn w:val="a0"/>
  </w:style>
  <w:style w:type="character" w:customStyle="1" w:styleId="cat-UserDefinedgrp-33rplc-95">
    <w:name w:val="cat-UserDefined grp-33 rplc-95"/>
    <w:basedOn w:val="a0"/>
  </w:style>
  <w:style w:type="character" w:customStyle="1" w:styleId="cat-Addressgrp-1rplc-96">
    <w:name w:val="cat-Address grp-1 rplc-96"/>
    <w:basedOn w:val="a0"/>
  </w:style>
  <w:style w:type="character" w:customStyle="1" w:styleId="cat-Addressgrp-0rplc-98">
    <w:name w:val="cat-Address grp-0 rplc-98"/>
    <w:basedOn w:val="a0"/>
  </w:style>
  <w:style w:type="character" w:customStyle="1" w:styleId="cat-Addressgrp-4rplc-100">
    <w:name w:val="cat-Address grp-4 rplc-100"/>
    <w:basedOn w:val="a0"/>
  </w:style>
  <w:style w:type="character" w:customStyle="1" w:styleId="cat-Addressgrp-5rplc-101">
    <w:name w:val="cat-Address grp-5 rplc-101"/>
    <w:basedOn w:val="a0"/>
  </w:style>
  <w:style w:type="character" w:customStyle="1" w:styleId="cat-Addressgrp-6rplc-102">
    <w:name w:val="cat-Address grp-6 rplc-102"/>
    <w:basedOn w:val="a0"/>
  </w:style>
  <w:style w:type="character" w:customStyle="1" w:styleId="cat-PhoneNumbergrp-31rplc-103">
    <w:name w:val="cat-PhoneNumber grp-31 rplc-103"/>
    <w:basedOn w:val="a0"/>
  </w:style>
  <w:style w:type="character" w:customStyle="1" w:styleId="cat-Addressgrp-0rplc-106">
    <w:name w:val="cat-Address grp-0 rplc-106"/>
    <w:basedOn w:val="a0"/>
  </w:style>
  <w:style w:type="character" w:customStyle="1" w:styleId="cat-Addressgrp-7rplc-110">
    <w:name w:val="cat-Address grp-7 rplc-110"/>
    <w:basedOn w:val="a0"/>
  </w:style>
  <w:style w:type="character" w:customStyle="1" w:styleId="cat-Addressgrp-0rplc-111">
    <w:name w:val="cat-Address grp-0 rplc-111"/>
    <w:basedOn w:val="a0"/>
  </w:style>
  <w:style w:type="character" w:customStyle="1" w:styleId="cat-FIOgrp-19rplc-114">
    <w:name w:val="cat-FIO grp-19 rplc-114"/>
    <w:basedOn w:val="a0"/>
  </w:style>
  <w:style w:type="character" w:customStyle="1" w:styleId="cat-Addressgrp-0rplc-117">
    <w:name w:val="cat-Address grp-0 rplc-117"/>
    <w:basedOn w:val="a0"/>
  </w:style>
  <w:style w:type="character" w:customStyle="1" w:styleId="cat-Addressgrp-4rplc-119">
    <w:name w:val="cat-Address grp-4 rplc-119"/>
    <w:basedOn w:val="a0"/>
  </w:style>
  <w:style w:type="character" w:customStyle="1" w:styleId="cat-Addressgrp-5rplc-120">
    <w:name w:val="cat-Address grp-5 rplc-120"/>
    <w:basedOn w:val="a0"/>
  </w:style>
  <w:style w:type="character" w:customStyle="1" w:styleId="cat-Addressgrp-6rplc-121">
    <w:name w:val="cat-Address grp-6 rplc-121"/>
    <w:basedOn w:val="a0"/>
  </w:style>
  <w:style w:type="character" w:customStyle="1" w:styleId="cat-PhoneNumbergrp-31rplc-122">
    <w:name w:val="cat-PhoneNumber grp-31 rplc-122"/>
    <w:basedOn w:val="a0"/>
  </w:style>
  <w:style w:type="character" w:customStyle="1" w:styleId="cat-Addressgrp-8rplc-123">
    <w:name w:val="cat-Address grp-8 rplc-123"/>
    <w:basedOn w:val="a0"/>
  </w:style>
  <w:style w:type="character" w:customStyle="1" w:styleId="cat-Addressgrp-9rplc-124">
    <w:name w:val="cat-Address grp-9 rplc-124"/>
    <w:basedOn w:val="a0"/>
  </w:style>
  <w:style w:type="character" w:customStyle="1" w:styleId="cat-Addressgrp-0rplc-125">
    <w:name w:val="cat-Address grp-0 rplc-1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iryazevsky.msk.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miryazevsky.msk@sudrf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iryazevsky.msk.sudrf.ru" TargetMode="External"/><Relationship Id="rId5" Type="http://schemas.openxmlformats.org/officeDocument/2006/relationships/hyperlink" Target="mailto:timiryazevsky.msk@sudrf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4553</Words>
  <Characters>25956</Characters>
  <Application>Microsoft Office Word</Application>
  <DocSecurity>0</DocSecurity>
  <Lines>216</Lines>
  <Paragraphs>60</Paragraphs>
  <ScaleCrop>false</ScaleCrop>
  <Company/>
  <LinksUpToDate>false</LinksUpToDate>
  <CharactersWithSpaces>30449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