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№ 2-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529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2023</w:t>
      </w:r>
    </w:p>
    <w:p>
      <w:pPr>
        <w:spacing w:before="0" w:after="0"/>
        <w:ind w:firstLine="709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77RS0005-02-2022-012638-05</w:t>
      </w:r>
    </w:p>
    <w:p>
      <w:pPr>
        <w:spacing w:before="0" w:after="0"/>
        <w:ind w:firstLine="709"/>
        <w:jc w:val="right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ОПРЕДЕЛЕНИЕ</w:t>
      </w: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о прекращении производства по делу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город Москва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11 января 2023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Головинский районный суд города Москвы в составе председательствующего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Назаровой Н.Н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секретаре </w:t>
      </w:r>
      <w:r>
        <w:rPr>
          <w:rStyle w:val="cat-FIOgrp-4rplc-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рассмотрев в открытом судебном за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седании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гражданское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дело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529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наследственному имуществу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Style w:val="cat-UserDefined134730grp-19rplc-5"/>
          <w:rFonts w:ascii="Times New Roman" w:eastAsia="Times New Roman" w:hAnsi="Times New Roman" w:cs="Times New Roman"/>
          <w:sz w:val="26"/>
          <w:szCs w:val="26"/>
          <w:highlight w:val="none"/>
        </w:rPr>
        <w:t>А.Л.В.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наследникам </w:t>
      </w:r>
      <w:r>
        <w:rPr>
          <w:rStyle w:val="cat-UserDefined134731grp-20rplc-7"/>
          <w:rFonts w:ascii="Times New Roman" w:eastAsia="Times New Roman" w:hAnsi="Times New Roman" w:cs="Times New Roman"/>
          <w:sz w:val="26"/>
          <w:szCs w:val="26"/>
          <w:highlight w:val="none"/>
        </w:rPr>
        <w:t>К.М.К., А.В.М., А.Е.В., А.С.В.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 расторжении кредитного договора, взыскании задолженности по кредитному договору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к наследственному имуществу </w:t>
      </w:r>
      <w:r>
        <w:rPr>
          <w:rStyle w:val="cat-UserDefined134732grp-21rplc-12"/>
          <w:rFonts w:ascii="Times New Roman" w:eastAsia="Times New Roman" w:hAnsi="Times New Roman" w:cs="Times New Roman"/>
          <w:sz w:val="26"/>
          <w:szCs w:val="26"/>
          <w:highlight w:val="none"/>
        </w:rPr>
        <w:t>А.Л.В.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наследникам </w:t>
      </w:r>
      <w:r>
        <w:rPr>
          <w:rStyle w:val="cat-UserDefined134733grp-22rplc-14"/>
          <w:rFonts w:ascii="Times New Roman" w:eastAsia="Times New Roman" w:hAnsi="Times New Roman" w:cs="Times New Roman"/>
          <w:sz w:val="26"/>
          <w:szCs w:val="26"/>
          <w:highlight w:val="none"/>
        </w:rPr>
        <w:t>К.М.К., А.В.М., А.Е.В.,А.С.В..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расторжении кредитного договора, взыскании задолженности по кредитному договору,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ходе рассмотрения дела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представителя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истца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адрес суда поступило заявление о прекращении производства по делу.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Представитель 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явил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дате, времени и месте судебного заседания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извещ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надлежащим образом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 дате, времени и месте судебного заседания извещал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надлежащим образом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ГПК РФ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вправе изменить основание или предмет иска, увеличить или уменьшить размер исковых требований либо отказаться от иска, ответчик вправе признать иск, стороны могут окончить дело мировым соглашением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ч.1 ст.173 ГПК РФ з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аявление истца об отказе от иска, признание иска ответчиком и условия мирового соглашения сторон заносятся в протокол судебного заседания и подписываются истцом, ответчиком или обеими сторонами. В случае, если отказ от иска, признание иска или мировое соглашение сторон выражены в адресованных суду заявлениях в письменной форме, эти заявления приобщаются к делу, на что указывается в протоколе судебного заседания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принимает отказ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 иска, считая, что он не противоречит закону и не нарушает права и охраняемые законом интересы других лиц.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ст.157 Кодекса административного судопроизводства РФ, суд прекращает производство по делу, если истец отказался от иска и отказ принят судом.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п.3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ст.220 ГПК РФ суд прекращает производство по делу в случае, если истец отказался от иска и отказ принят судом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Сторонам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известны последствия принятия отказа от иска и прекращения производст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ва по делу, предусмотренные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 39, 173, 220, 221 ГПК РФ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Таким образом, имеются основания для принятия отказа от иска и прекращения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производства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гражданскому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делу по иску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к наследственному имуществу </w:t>
      </w:r>
      <w:r>
        <w:rPr>
          <w:rStyle w:val="cat-UserDefined134732grp-21rplc-19"/>
          <w:rFonts w:ascii="Times New Roman" w:eastAsia="Times New Roman" w:hAnsi="Times New Roman" w:cs="Times New Roman"/>
          <w:sz w:val="26"/>
          <w:szCs w:val="26"/>
          <w:highlight w:val="none"/>
        </w:rPr>
        <w:t>А.Л.В.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наследникам </w:t>
      </w:r>
      <w:r>
        <w:rPr>
          <w:rStyle w:val="cat-UserDefined134733grp-22rplc-21"/>
          <w:rFonts w:ascii="Times New Roman" w:eastAsia="Times New Roman" w:hAnsi="Times New Roman" w:cs="Times New Roman"/>
          <w:sz w:val="26"/>
          <w:szCs w:val="26"/>
          <w:highlight w:val="none"/>
        </w:rPr>
        <w:t>К.М.К., А.В.М., А.Е.В.,А.С.В..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расторжении кредитного договора, взыскании задолженности по кредитному договору,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Разрешая заявление административного истца 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взыскании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государственной пошлины, суд исходит из следующего.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ч.1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101 ГПК РФ при отказе истца от иска понесенные им судебные расходы ответчиком не возмещаются. Истец возмещает ответчику издержки, понесенные им в связи с ведением дела. В случае, если истец не поддерживает свои требования вследствие добровольного удовлетворения их ответчиком после предъявления иска, все понесенные истцом по делу судебные расходы, в том числе расходы на оплату услуг представителя, по просьбе истца взыскиваются с ответчика.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 основании п.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26 Постановления Пленума Верховного Суда РФ от 21.01.2016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N 1 "О некоторых вопросах применения законодательства о возмещении издержек, связанных с рассмотрением дела" при прекращении производства по делу ввиду отказа истца от иска в связи с добровольным удовлетворением его требований ответчиком после обращения истца в суд судебные издержки взыскиваются с ответчика (ч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101 ГПК РФ, ч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113 КАС РФ,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110 АПК РФ). При этом следует иметь в виду, что отказ от иска является правом, а не обязанностью истца, поэтому возмещение судебных издержек истцу при указанных обстоятельствах не может быть поставлено в зависимость от заявления им отказа от иска. Следовательно, в случае добровольного удовлетворения исковых требований ответчиком после обращения истца в суд и принятия судебного решения по такому делу судебные издержки также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взысканию с ответчика.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представленным в материалы дела свидетельства о праве на наследство по закону и справке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нотариуса </w:t>
      </w:r>
      <w:r>
        <w:rPr>
          <w:rStyle w:val="cat-FIOgrp-15rplc-2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наследником умершей </w:t>
      </w:r>
      <w:r>
        <w:rPr>
          <w:rStyle w:val="cat-UserDefined134732grp-21rplc-27"/>
          <w:rFonts w:ascii="Times New Roman" w:eastAsia="Times New Roman" w:hAnsi="Times New Roman" w:cs="Times New Roman"/>
          <w:sz w:val="26"/>
          <w:szCs w:val="26"/>
          <w:highlight w:val="none"/>
        </w:rPr>
        <w:t>А.Л.В.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являетс</w:t>
      </w:r>
      <w:r>
        <w:rPr>
          <w:rStyle w:val="cat-UserDefined134735grp-24rplc-28"/>
          <w:rFonts w:ascii="Times New Roman" w:eastAsia="Times New Roman" w:hAnsi="Times New Roman" w:cs="Times New Roman"/>
          <w:sz w:val="26"/>
          <w:szCs w:val="26"/>
          <w:highlight w:val="none"/>
        </w:rPr>
        <w:t>К.М.К.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Таким образом, учитывая, что задолженность по кредитному договору была погашена ответчиком после подачи иска, суд полагает возможным взыскать с ответчик</w:t>
      </w:r>
      <w:r>
        <w:rPr>
          <w:rStyle w:val="cat-UserDefined134736grp-25rplc-31"/>
          <w:rFonts w:ascii="Times New Roman" w:eastAsia="Times New Roman" w:hAnsi="Times New Roman" w:cs="Times New Roman"/>
          <w:sz w:val="26"/>
          <w:szCs w:val="26"/>
          <w:highlight w:val="none"/>
        </w:rPr>
        <w:t>К.М.К.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пользу истца расходы по уплате государственной пошлины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18rplc-3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поскольку указанные судебные расходы подтверждены документально и признаются судом необходимыми для рассмотрения данного спора.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изложенного, руководствуясь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ст.ст. 39, 220, 221, 224-225 ГПК РФ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Кодекса административного судопроизводства РФ, суд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ОПРЕДЕЛИЛ: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Принять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истца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отказ от иска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Московский Банк ПАО Сбербанк к наследственному имуществу А</w:t>
      </w:r>
      <w:r>
        <w:rPr>
          <w:rStyle w:val="cat-UserDefined134730grp-19rplc-35"/>
          <w:rFonts w:ascii="Times New Roman" w:eastAsia="Times New Roman" w:hAnsi="Times New Roman" w:cs="Times New Roman"/>
          <w:sz w:val="26"/>
          <w:szCs w:val="26"/>
          <w:highlight w:val="none"/>
        </w:rPr>
        <w:t>А.Л.В.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наследникам </w:t>
      </w:r>
      <w:r>
        <w:rPr>
          <w:rStyle w:val="cat-UserDefined134731grp-20rplc-37"/>
          <w:rFonts w:ascii="Times New Roman" w:eastAsia="Times New Roman" w:hAnsi="Times New Roman" w:cs="Times New Roman"/>
          <w:sz w:val="26"/>
          <w:szCs w:val="26"/>
          <w:highlight w:val="none"/>
        </w:rPr>
        <w:t>К.М.К., А.В.М., А.Е.В., А.С.В.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расторжении кредитного договора, взыскании задолженности по кредитному договору,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Производство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гражданскому делу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529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 к наследственному имуществу А</w:t>
      </w:r>
      <w:r>
        <w:rPr>
          <w:rStyle w:val="cat-UserDefined134730grp-19rplc-42"/>
          <w:rFonts w:ascii="Times New Roman" w:eastAsia="Times New Roman" w:hAnsi="Times New Roman" w:cs="Times New Roman"/>
          <w:sz w:val="26"/>
          <w:szCs w:val="26"/>
          <w:highlight w:val="none"/>
        </w:rPr>
        <w:t>А.Л.В.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наследникам </w:t>
      </w:r>
      <w:r>
        <w:rPr>
          <w:rStyle w:val="cat-UserDefined134731grp-20rplc-44"/>
          <w:rFonts w:ascii="Times New Roman" w:eastAsia="Times New Roman" w:hAnsi="Times New Roman" w:cs="Times New Roman"/>
          <w:sz w:val="26"/>
          <w:szCs w:val="26"/>
          <w:highlight w:val="none"/>
        </w:rPr>
        <w:t>К.М.К., А.В.М., А.Е.В., А.С.В.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расторжении кредитного договора, взыскании задолженности по кредитному договору,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прекратить.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Повторное обращение в суд по спору между теми же сторонами, о том же предмете и по тем же основаниям не допускается.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</w:t>
      </w:r>
      <w:r>
        <w:rPr>
          <w:rStyle w:val="cat-UserDefined134738grp-27rplc-48"/>
          <w:rFonts w:ascii="Times New Roman" w:eastAsia="Times New Roman" w:hAnsi="Times New Roman" w:cs="Times New Roman"/>
          <w:sz w:val="26"/>
          <w:szCs w:val="26"/>
          <w:highlight w:val="none"/>
        </w:rPr>
        <w:t>с К.М.К.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расходы по уплате государственной пошлины в размере </w:t>
      </w:r>
      <w:r>
        <w:rPr>
          <w:rStyle w:val="cat-Sumgrp-18rplc-5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Определение может быть обжаловано в Московский городской суд в течение 15 дней путем подачи частной жалобы в канцелярию по гражданским делам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Головинского районного суда г.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Москвы.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Н.Н. Назарова</w:t>
      </w:r>
    </w:p>
    <w:p>
      <w:pPr>
        <w:spacing w:before="0" w:after="200" w:line="276" w:lineRule="auto"/>
        <w:rPr>
          <w:sz w:val="26"/>
          <w:szCs w:val="26"/>
        </w:rPr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  <w:highlight w:val="none"/>
      </w:rPr>
      <w:instrText>PAGE   \* MERGEFORMAT</w:instrText>
    </w:r>
    <w:r>
      <w:rPr>
        <w:sz w:val="22"/>
        <w:szCs w:val="22"/>
      </w:rPr>
      <w:fldChar w:fldCharType="separate"/>
    </w:r>
    <w:r>
      <w:rPr>
        <w:rFonts w:ascii="Calibri" w:eastAsia="Calibri" w:hAnsi="Calibri" w:cs="Calibri"/>
        <w:sz w:val="22"/>
        <w:szCs w:val="22"/>
        <w:highlight w:val="none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4rplc-3">
    <w:name w:val="cat-FIO grp-4 rplc-3"/>
    <w:basedOn w:val="DefaultParagraphFont"/>
  </w:style>
  <w:style w:type="character" w:customStyle="1" w:styleId="cat-UserDefined134730grp-19rplc-5">
    <w:name w:val="cat-UserDefined134730 grp-19 rplc-5"/>
    <w:basedOn w:val="DefaultParagraphFont"/>
  </w:style>
  <w:style w:type="character" w:customStyle="1" w:styleId="cat-UserDefined134731grp-20rplc-7">
    <w:name w:val="cat-UserDefined134731 grp-20 rplc-7"/>
    <w:basedOn w:val="DefaultParagraphFont"/>
  </w:style>
  <w:style w:type="character" w:customStyle="1" w:styleId="cat-UserDefined134732grp-21rplc-12">
    <w:name w:val="cat-UserDefined134732 grp-21 rplc-12"/>
    <w:basedOn w:val="DefaultParagraphFont"/>
  </w:style>
  <w:style w:type="character" w:customStyle="1" w:styleId="cat-UserDefined134733grp-22rplc-14">
    <w:name w:val="cat-UserDefined134733 grp-22 rplc-14"/>
    <w:basedOn w:val="DefaultParagraphFont"/>
  </w:style>
  <w:style w:type="character" w:customStyle="1" w:styleId="cat-UserDefined134732grp-21rplc-19">
    <w:name w:val="cat-UserDefined134732 grp-21 rplc-19"/>
    <w:basedOn w:val="DefaultParagraphFont"/>
  </w:style>
  <w:style w:type="character" w:customStyle="1" w:styleId="cat-UserDefined134733grp-22rplc-21">
    <w:name w:val="cat-UserDefined134733 grp-22 rplc-21"/>
    <w:basedOn w:val="DefaultParagraphFont"/>
  </w:style>
  <w:style w:type="character" w:customStyle="1" w:styleId="cat-FIOgrp-15rplc-25">
    <w:name w:val="cat-FIO grp-15 rplc-25"/>
    <w:basedOn w:val="DefaultParagraphFont"/>
  </w:style>
  <w:style w:type="character" w:customStyle="1" w:styleId="cat-UserDefined134732grp-21rplc-27">
    <w:name w:val="cat-UserDefined134732 grp-21 rplc-27"/>
    <w:basedOn w:val="DefaultParagraphFont"/>
  </w:style>
  <w:style w:type="character" w:customStyle="1" w:styleId="cat-UserDefined134735grp-24rplc-28">
    <w:name w:val="cat-UserDefined134735 grp-24 rplc-28"/>
    <w:basedOn w:val="DefaultParagraphFont"/>
  </w:style>
  <w:style w:type="character" w:customStyle="1" w:styleId="cat-UserDefined134736grp-25rplc-31">
    <w:name w:val="cat-UserDefined134736 grp-25 rplc-31"/>
    <w:basedOn w:val="DefaultParagraphFont"/>
  </w:style>
  <w:style w:type="character" w:customStyle="1" w:styleId="cat-Sumgrp-18rplc-33">
    <w:name w:val="cat-Sum grp-18 rplc-33"/>
    <w:basedOn w:val="DefaultParagraphFont"/>
  </w:style>
  <w:style w:type="character" w:customStyle="1" w:styleId="cat-UserDefined134730grp-19rplc-35">
    <w:name w:val="cat-UserDefined134730 grp-19 rplc-35"/>
    <w:basedOn w:val="DefaultParagraphFont"/>
  </w:style>
  <w:style w:type="character" w:customStyle="1" w:styleId="cat-UserDefined134731grp-20rplc-37">
    <w:name w:val="cat-UserDefined134731 grp-20 rplc-37"/>
    <w:basedOn w:val="DefaultParagraphFont"/>
  </w:style>
  <w:style w:type="character" w:customStyle="1" w:styleId="cat-UserDefined134730grp-19rplc-42">
    <w:name w:val="cat-UserDefined134730 grp-19 rplc-42"/>
    <w:basedOn w:val="DefaultParagraphFont"/>
  </w:style>
  <w:style w:type="character" w:customStyle="1" w:styleId="cat-UserDefined134731grp-20rplc-44">
    <w:name w:val="cat-UserDefined134731 grp-20 rplc-44"/>
    <w:basedOn w:val="DefaultParagraphFont"/>
  </w:style>
  <w:style w:type="character" w:customStyle="1" w:styleId="cat-UserDefined134738grp-27rplc-48">
    <w:name w:val="cat-UserDefined134738 grp-27 rplc-48"/>
    <w:basedOn w:val="DefaultParagraphFont"/>
  </w:style>
  <w:style w:type="character" w:customStyle="1" w:styleId="cat-Sumgrp-18rplc-51">
    <w:name w:val="cat-Sum grp-18 rplc-5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