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78EC76" w14:textId="77777777" w:rsidR="00A17EE5" w:rsidRDefault="00282F73">
      <w:pPr>
        <w:widowControl w:val="0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 77RS0009-02-2020-002591-26</w:t>
      </w:r>
    </w:p>
    <w:p w14:paraId="2D1413EE" w14:textId="77777777" w:rsidR="00A17EE5" w:rsidRDefault="00282F73">
      <w:pPr>
        <w:widowControl w:val="0"/>
        <w:jc w:val="right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           Дело № 02-749/2021</w:t>
      </w:r>
    </w:p>
    <w:p w14:paraId="764D599D" w14:textId="77777777" w:rsidR="00A17EE5" w:rsidRDefault="00282F73">
      <w:pPr>
        <w:widowControl w:val="0"/>
        <w:jc w:val="right"/>
        <w:rPr>
          <w:sz w:val="28"/>
          <w:szCs w:val="28"/>
          <w:lang w:val="en-BE" w:eastAsia="en-BE" w:bidi="ar-SA"/>
        </w:rPr>
      </w:pPr>
    </w:p>
    <w:p w14:paraId="1073D92B" w14:textId="77777777" w:rsidR="00A17EE5" w:rsidRDefault="00282F7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475F0749" w14:textId="77777777" w:rsidR="00A17EE5" w:rsidRDefault="00282F7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23A74BFF" w14:textId="77777777" w:rsidR="00A17EE5" w:rsidRDefault="00282F7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641B2C42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26 марта 2021 года</w:t>
      </w:r>
    </w:p>
    <w:p w14:paraId="017DC9C8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1B29D0D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Зюзинский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2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4C3FD9AF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ведении протокола помощником судьи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488EEB56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 участием представителя истца ПАО «Сбербанк России» по доверенности </w:t>
      </w:r>
      <w:r>
        <w:rPr>
          <w:rStyle w:val="cat-FIOgrp-4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 ответчика </w:t>
      </w:r>
      <w:r>
        <w:rPr>
          <w:rStyle w:val="cat-FIOgrp-5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2DE71723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02-749/2021 по исковому заявлению Публичного акционерного общества Сбербанк в лице филиала Московского ба</w:t>
      </w:r>
      <w:r>
        <w:rPr>
          <w:sz w:val="28"/>
          <w:szCs w:val="28"/>
          <w:lang w:val="en-BE" w:eastAsia="en-BE" w:bidi="ar-SA"/>
        </w:rPr>
        <w:t xml:space="preserve">нка ПАО Сбербанк к </w:t>
      </w:r>
      <w:r>
        <w:rPr>
          <w:rStyle w:val="cat-FIOgrp-7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(Цапочкиной) </w:t>
      </w:r>
      <w:r>
        <w:rPr>
          <w:rStyle w:val="cat-FIOgrp-6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задолженности,</w:t>
      </w:r>
    </w:p>
    <w:p w14:paraId="156F6BD7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E88CD93" w14:textId="77777777" w:rsidR="00A17EE5" w:rsidRDefault="00282F73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114382A2" w14:textId="77777777" w:rsidR="00A17EE5" w:rsidRDefault="00282F73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5F728A3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«Сбербанк России» в лице филиала Московского банка ПАО Сбербанк обратилось в суд с иском к </w:t>
      </w:r>
      <w:r>
        <w:rPr>
          <w:rStyle w:val="cat-FIOgrp-7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(Цапочкиной) А.М. о взыскании задолженности по международной банковской карте</w:t>
      </w:r>
      <w:r>
        <w:rPr>
          <w:sz w:val="28"/>
          <w:szCs w:val="28"/>
          <w:lang w:val="en-BE" w:eastAsia="en-BE" w:bidi="ar-SA"/>
        </w:rPr>
        <w:t xml:space="preserve"> в размере </w:t>
      </w:r>
      <w:r>
        <w:rPr>
          <w:rStyle w:val="cat-Sumgrp-10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 курсу Банка России на день исполнения решения, а также расходов по оплате госпошлины в размере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55DEE05C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заявленных требований истец указал, что 05.07.2005 года ПАО Сбербанк предоставил ответчику в пользование банковскую карт</w:t>
      </w:r>
      <w:r>
        <w:rPr>
          <w:sz w:val="28"/>
          <w:szCs w:val="28"/>
          <w:lang w:val="en-BE" w:eastAsia="en-BE" w:bidi="ar-SA"/>
        </w:rPr>
        <w:t xml:space="preserve">у Visa Gold, с лимитом овердрафта по карте в размере </w:t>
      </w:r>
      <w:r>
        <w:rPr>
          <w:rStyle w:val="cat-Sumgrp-12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 Для отражения операций, проводимых с использованием данной карты в соответствии с заключенным договором № 17310, Должнику был открыт счет № 40817**********0130. Указанный договор заключен в резуль</w:t>
      </w:r>
      <w:r>
        <w:rPr>
          <w:sz w:val="28"/>
          <w:szCs w:val="28"/>
          <w:lang w:val="en-BE" w:eastAsia="en-BE" w:bidi="ar-SA"/>
        </w:rPr>
        <w:t xml:space="preserve">тате публичной оферты. </w:t>
      </w:r>
      <w:r>
        <w:rPr>
          <w:rStyle w:val="cat-FIOgrp-7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(Цапочкина) A.M. была ознакомлена с Условиями использования карт (далее - Условия), Тарифами Сбербанка России. В соответствии с п. 3.1 Условий использования международных карт Сбербанка России ОАО, для отражения операций, проводи</w:t>
      </w:r>
      <w:r>
        <w:rPr>
          <w:sz w:val="28"/>
          <w:szCs w:val="28"/>
          <w:lang w:val="en-BE" w:eastAsia="en-BE" w:bidi="ar-SA"/>
        </w:rPr>
        <w:t>мых в соответствии с Настоящими условиями, Банк открывает клиенту счет карты. На остаток средств на счете начисляются проценты в соответствии с Тарифами Банка. Согласно пункту 1.5 "Положения об эмиссии банковских карт и об операциях, совершаемых с использо</w:t>
      </w:r>
      <w:r>
        <w:rPr>
          <w:sz w:val="28"/>
          <w:szCs w:val="28"/>
          <w:lang w:val="en-BE" w:eastAsia="en-BE" w:bidi="ar-SA"/>
        </w:rPr>
        <w:t>ванием платежных карт", утвержденных ЦБ РФ 24.12.2004 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</w:t>
      </w:r>
      <w:r>
        <w:rPr>
          <w:sz w:val="28"/>
          <w:szCs w:val="28"/>
          <w:lang w:val="en-BE" w:eastAsia="en-BE" w:bidi="ar-SA"/>
        </w:rPr>
        <w:t xml:space="preserve">итной организацией-эмитентом </w:t>
      </w:r>
      <w:r>
        <w:rPr>
          <w:sz w:val="28"/>
          <w:szCs w:val="28"/>
          <w:lang w:val="en-BE" w:eastAsia="en-BE" w:bidi="ar-SA"/>
        </w:rPr>
        <w:lastRenderedPageBreak/>
        <w:t>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</w:t>
      </w:r>
      <w:r>
        <w:rPr>
          <w:sz w:val="28"/>
          <w:szCs w:val="28"/>
          <w:lang w:val="en-BE" w:eastAsia="en-BE" w:bidi="ar-SA"/>
        </w:rPr>
        <w:t xml:space="preserve">тветствии с договором банковского счета при недостаточности или отсутствии на банковском счете денежных средств (овердрафт). В соответствии с п. 4.1. Условий использования международных карт Сбербанка России ОАО, Банк в соответствии с Тарифами Банка может </w:t>
      </w:r>
      <w:r>
        <w:rPr>
          <w:sz w:val="28"/>
          <w:szCs w:val="28"/>
          <w:lang w:val="en-BE" w:eastAsia="en-BE" w:bidi="ar-SA"/>
        </w:rPr>
        <w:t>предоставить Клиенту кредит в форме «овердрафт» («овердрафт») по Счету. При образовании овердрафта на Счете Банк начисляет на сумму задолженности проценты с даты отражения ее на ссудном счете (не включая эту дату) до даты погашения задолженности (включител</w:t>
      </w:r>
      <w:r>
        <w:rPr>
          <w:sz w:val="28"/>
          <w:szCs w:val="28"/>
          <w:lang w:val="en-BE" w:eastAsia="en-BE" w:bidi="ar-SA"/>
        </w:rPr>
        <w:t>ьно) по ставке, установленной Тарифами Банка п.4.5. Условий использования международных карт Сбербанка России ОАО). На основании п. 4.6. Условий использования международных карт Сбербанка России ОАО, Клиент обязуется погашать задолженность по Счету в преде</w:t>
      </w:r>
      <w:r>
        <w:rPr>
          <w:sz w:val="28"/>
          <w:szCs w:val="28"/>
          <w:lang w:val="en-BE" w:eastAsia="en-BE" w:bidi="ar-SA"/>
        </w:rPr>
        <w:t>лах лимита овердрафта, а также в размере, превышающем лимит овердрафта, в сумме, не менее указанной в отчете по Счету, а также платы, начисленные в соответствии с Тарифами Банка, не позднее 30-ти календарных дней с даты отчета по Счету. Согласно п.4.7. Усл</w:t>
      </w:r>
      <w:r>
        <w:rPr>
          <w:sz w:val="28"/>
          <w:szCs w:val="28"/>
          <w:lang w:val="en-BE" w:eastAsia="en-BE" w:bidi="ar-SA"/>
        </w:rPr>
        <w:t>овий использования международных карт Сбербанка России ОАО, за несвоевременное погашение задолженности по Счету взимается неустойка в соответствии с Тарифами Банка. Сумма неустойки начисляется на остаток просроченного основного долга и рассчитывается с дат</w:t>
      </w:r>
      <w:r>
        <w:rPr>
          <w:sz w:val="28"/>
          <w:szCs w:val="28"/>
          <w:lang w:val="en-BE" w:eastAsia="en-BE" w:bidi="ar-SA"/>
        </w:rPr>
        <w:t>ы образования просроченной задолженности (включая эту дату) до даты внесения платежа (не включая эту дату). В соответствии с представленным расчетом период образовавшейся задолженности с 19.05.2019 г. по 23.12.2019 г., сумма задолженности по состоянию на 2</w:t>
      </w:r>
      <w:r>
        <w:rPr>
          <w:sz w:val="28"/>
          <w:szCs w:val="28"/>
          <w:lang w:val="en-BE" w:eastAsia="en-BE" w:bidi="ar-SA"/>
        </w:rPr>
        <w:t xml:space="preserve">3.12.2019 года составляет </w:t>
      </w:r>
      <w:r>
        <w:rPr>
          <w:rStyle w:val="cat-Sumgrp-13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числе: просроченный основной долг - </w:t>
      </w:r>
      <w:r>
        <w:rPr>
          <w:rStyle w:val="cat-Sumgrp-14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- </w:t>
      </w:r>
      <w:r>
        <w:rPr>
          <w:rStyle w:val="cat-Sumgrp-15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 В адрес Должника 20.11.2019 г. направлялось требование о нарушении им условий использования международной карты Сбербанка, однако, данное требо</w:t>
      </w:r>
      <w:r>
        <w:rPr>
          <w:sz w:val="28"/>
          <w:szCs w:val="28"/>
          <w:lang w:val="en-BE" w:eastAsia="en-BE" w:bidi="ar-SA"/>
        </w:rPr>
        <w:t>вания ответчиком до настоящего времени не исполнено.</w:t>
      </w:r>
    </w:p>
    <w:p w14:paraId="62521FE2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истца ПАО «Сбербанк России» по доверенности </w:t>
      </w:r>
      <w:r>
        <w:rPr>
          <w:rStyle w:val="cat-FIOgrp-8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явился, указав, что после подачи искового заявления в суд задолженность ответчиком погашена в полном объеме, в связи с ч</w:t>
      </w:r>
      <w:r>
        <w:rPr>
          <w:sz w:val="28"/>
          <w:szCs w:val="28"/>
          <w:lang w:val="en-BE" w:eastAsia="en-BE" w:bidi="ar-SA"/>
        </w:rPr>
        <w:t xml:space="preserve">ем истец уточняет исковые требования и просит взыскать с ответчика только расходы по оплате государственной пошлины в размере </w:t>
      </w:r>
      <w:r>
        <w:rPr>
          <w:rStyle w:val="cat-Sumgrp-11rplc-17"/>
          <w:sz w:val="28"/>
          <w:szCs w:val="28"/>
          <w:lang w:val="en-BE" w:eastAsia="en-BE" w:bidi="ar-SA"/>
        </w:rPr>
        <w:t>сумма</w:t>
      </w:r>
    </w:p>
    <w:p w14:paraId="039E019D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7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(Цапочкина) А.М. в судебное заседание явилась, указала, что задолженность погашена, против взыскания расходов п</w:t>
      </w:r>
      <w:r>
        <w:rPr>
          <w:sz w:val="28"/>
          <w:szCs w:val="28"/>
          <w:lang w:val="en-BE" w:eastAsia="en-BE" w:bidi="ar-SA"/>
        </w:rPr>
        <w:t>о оплате государственной пошлины не возражала.</w:t>
      </w:r>
    </w:p>
    <w:p w14:paraId="5FB095B6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письменные материалы дела, выслушав объяснения сторон, оценив представленные доказательства в их совокупности, с учетом требований ст. 56 ГПК РФ и по правилам ст. 67 ГПК РФ, суд находит исковые требован</w:t>
      </w:r>
      <w:r>
        <w:rPr>
          <w:sz w:val="28"/>
          <w:szCs w:val="28"/>
          <w:lang w:val="en-BE" w:eastAsia="en-BE" w:bidi="ar-SA"/>
        </w:rPr>
        <w:t xml:space="preserve">ия истца, с </w:t>
      </w:r>
      <w:r>
        <w:rPr>
          <w:sz w:val="28"/>
          <w:szCs w:val="28"/>
          <w:lang w:val="en-BE" w:eastAsia="en-BE" w:bidi="ar-SA"/>
        </w:rPr>
        <w:lastRenderedPageBreak/>
        <w:t>учетом уточнений, законными, обоснованными и подлежащими удовлетворению по следующим основаниям.</w:t>
      </w:r>
    </w:p>
    <w:p w14:paraId="146C515E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 правоотношениям, возникшим между истцом и ответчиком, в связи с выдачей банковской карты, применяются нормы ГК РФ о банковском счете. В силу ст. </w:t>
      </w:r>
      <w:r>
        <w:rPr>
          <w:sz w:val="28"/>
          <w:szCs w:val="28"/>
          <w:lang w:val="en-BE" w:eastAsia="en-BE" w:bidi="ar-SA"/>
        </w:rPr>
        <w:t>846 ГК РФ при заключении договора клиенту открывается счет в банке на условиях согласованными сторонами.</w:t>
      </w:r>
    </w:p>
    <w:p w14:paraId="1A7A4C5B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850 ГК РФ в случаях, когда в соответствии с договором банковского счета Банк осуществляет платежи со счета, несмотря на отсутствие денежны</w:t>
      </w:r>
      <w:r>
        <w:rPr>
          <w:sz w:val="28"/>
          <w:szCs w:val="28"/>
          <w:lang w:val="en-BE" w:eastAsia="en-BE" w:bidi="ar-SA"/>
        </w:rPr>
        <w:t>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60D0044A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Права и обязанности сторон, связанные с кредитованием счета, определяются правилами о займе и кредите (глава 42 ГК РФ</w:t>
      </w:r>
      <w:r>
        <w:rPr>
          <w:sz w:val="28"/>
          <w:szCs w:val="28"/>
          <w:lang w:val="en-BE" w:eastAsia="en-BE" w:bidi="ar-SA"/>
        </w:rPr>
        <w:t>), если договором банковского счета не предусмотрено иное (п. 2 ст. 850 ГК РФ).</w:t>
      </w:r>
    </w:p>
    <w:p w14:paraId="274184CB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810 ГК РФ предусматривает обязанность заемщика возвратить заимодавцу ф -полученную сумму займа в срок и в порядке, предусмотренные договором займа.</w:t>
      </w:r>
    </w:p>
    <w:p w14:paraId="17902788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положений ст. </w:t>
      </w:r>
      <w:r>
        <w:rPr>
          <w:sz w:val="28"/>
          <w:szCs w:val="28"/>
          <w:lang w:val="en-BE" w:eastAsia="en-BE" w:bidi="ar-SA"/>
        </w:rPr>
        <w:t>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</w:t>
      </w:r>
      <w:r>
        <w:rPr>
          <w:sz w:val="28"/>
          <w:szCs w:val="28"/>
          <w:lang w:val="en-BE" w:eastAsia="en-BE" w:bidi="ar-SA"/>
        </w:rPr>
        <w:t>дъявляемыми требованиями.</w:t>
      </w:r>
    </w:p>
    <w:p w14:paraId="10494056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 не допускаются односторонний отказ от исполнения обязательств и одностороннее изменение его условий.</w:t>
      </w:r>
    </w:p>
    <w:p w14:paraId="6535D1FF" w14:textId="77777777" w:rsidR="00A17EE5" w:rsidRDefault="00282F73">
      <w:pPr>
        <w:ind w:left="80"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330 ГК РФ должник обязан уплатить кредитору определенную договором неустойку в случае неиспол</w:t>
      </w:r>
      <w:r>
        <w:rPr>
          <w:sz w:val="28"/>
          <w:szCs w:val="28"/>
          <w:lang w:val="en-BE" w:eastAsia="en-BE" w:bidi="ar-SA"/>
        </w:rPr>
        <w:t>нения, в том числе в случае просрочки исполнения обязательств по договору.</w:t>
      </w:r>
    </w:p>
    <w:p w14:paraId="5CC60AA9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из письменных материалов дела, установлено, что 05.07.2005 года ПАО Сбербанк предоставил ответчику в пользование банковскую карту Visa Gold, с лимитом овердрафта по карте в ра</w:t>
      </w:r>
      <w:r>
        <w:rPr>
          <w:sz w:val="28"/>
          <w:szCs w:val="28"/>
          <w:lang w:val="en-BE" w:eastAsia="en-BE" w:bidi="ar-SA"/>
        </w:rPr>
        <w:t xml:space="preserve">змере </w:t>
      </w:r>
      <w:r>
        <w:rPr>
          <w:rStyle w:val="cat-Sumgrp-12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 Для отражения операций, проводимых с использованием данной карты в соответствии с заключенным договором № 17310.</w:t>
      </w:r>
    </w:p>
    <w:p w14:paraId="3493EC3B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Должнику был открыт счет № 40817840038064400130. Указанный договор заключен в результате публичной оферты. </w:t>
      </w:r>
      <w:r>
        <w:rPr>
          <w:rStyle w:val="cat-FIOgrp-7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(Цапочкина) A.M. бы</w:t>
      </w:r>
      <w:r>
        <w:rPr>
          <w:sz w:val="28"/>
          <w:szCs w:val="28"/>
          <w:lang w:val="en-BE" w:eastAsia="en-BE" w:bidi="ar-SA"/>
        </w:rPr>
        <w:t xml:space="preserve">ла ознакомлена с Условиями использования карт (далее - Условия), Тарифами Сбербанка России. </w:t>
      </w:r>
    </w:p>
    <w:p w14:paraId="29DA706C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3.1 Условий использования международных карт Сбербанка России ОАО, для отражения операций, проводимых в соответствии с Настоящими условиями, Ба</w:t>
      </w:r>
      <w:r>
        <w:rPr>
          <w:sz w:val="28"/>
          <w:szCs w:val="28"/>
          <w:lang w:val="en-BE" w:eastAsia="en-BE" w:bidi="ar-SA"/>
        </w:rPr>
        <w:t xml:space="preserve">нк открывает клиенту счет карты. На остаток средств на счете начисляются проценты в соответствии с Тарифами Банка. </w:t>
      </w:r>
    </w:p>
    <w:p w14:paraId="3C17A2AC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пункту 1.5 "Положения об эмиссии банковских карт и об операциях, совершаемых с использованием платежных карт", утвержденных ЦБ </w:t>
      </w:r>
      <w:r>
        <w:rPr>
          <w:sz w:val="28"/>
          <w:szCs w:val="28"/>
          <w:lang w:val="en-BE" w:eastAsia="en-BE" w:bidi="ar-SA"/>
        </w:rPr>
        <w:lastRenderedPageBreak/>
        <w:t>РФ 2</w:t>
      </w:r>
      <w:r>
        <w:rPr>
          <w:sz w:val="28"/>
          <w:szCs w:val="28"/>
          <w:lang w:val="en-BE" w:eastAsia="en-BE" w:bidi="ar-SA"/>
        </w:rPr>
        <w:t xml:space="preserve">4.12.2004 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организацией-эмитентом суммы денежных </w:t>
      </w:r>
      <w:r>
        <w:rPr>
          <w:sz w:val="28"/>
          <w:szCs w:val="28"/>
          <w:lang w:val="en-BE" w:eastAsia="en-BE" w:bidi="ar-SA"/>
        </w:rPr>
        <w:t xml:space="preserve">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 с договором банковского счета при </w:t>
      </w:r>
      <w:r>
        <w:rPr>
          <w:sz w:val="28"/>
          <w:szCs w:val="28"/>
          <w:lang w:val="en-BE" w:eastAsia="en-BE" w:bidi="ar-SA"/>
        </w:rPr>
        <w:t xml:space="preserve">недостаточности или отсутствии на банковском счете денежных средств (овердрафт). </w:t>
      </w:r>
    </w:p>
    <w:p w14:paraId="71C8663D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4.1. Условий использования международных карт Сбербанка России ОАО, Банк в соответствии с Тарифами Банка может предоставить Клиенту кредит в форме «овердр</w:t>
      </w:r>
      <w:r>
        <w:rPr>
          <w:sz w:val="28"/>
          <w:szCs w:val="28"/>
          <w:lang w:val="en-BE" w:eastAsia="en-BE" w:bidi="ar-SA"/>
        </w:rPr>
        <w:t>афт» («овердрафт») по Счету. При образовании овердрафта на Счете Банк начисляет на сумму задолженности проценты с даты отражения ее на ссудном счете (не включая эту дату) до даты погашения задолженности (включительно) по ставке, установленной Тарифами Банк</w:t>
      </w:r>
      <w:r>
        <w:rPr>
          <w:sz w:val="28"/>
          <w:szCs w:val="28"/>
          <w:lang w:val="en-BE" w:eastAsia="en-BE" w:bidi="ar-SA"/>
        </w:rPr>
        <w:t>а п.4.5. Условий использования международных карт Сбербанка России ОАО). На основании п. 4.6. Условий использования международных карт Сбербанка России ОАО, Клиент обязуется погашать задолженность по Счету в пределах лимита овердрафта, а также в размере, п</w:t>
      </w:r>
      <w:r>
        <w:rPr>
          <w:sz w:val="28"/>
          <w:szCs w:val="28"/>
          <w:lang w:val="en-BE" w:eastAsia="en-BE" w:bidi="ar-SA"/>
        </w:rPr>
        <w:t>ревышающем лимит овердрафта, в сумме, не менее указанной в отчете по Счету, а также платы, начисленные в соответствии с Тарифами Банка, не позднее 30-ти календарных дней с даты отчета по Счету. Согласно п.4.7. Условий использования международных карт Сберб</w:t>
      </w:r>
      <w:r>
        <w:rPr>
          <w:sz w:val="28"/>
          <w:szCs w:val="28"/>
          <w:lang w:val="en-BE" w:eastAsia="en-BE" w:bidi="ar-SA"/>
        </w:rPr>
        <w:t>анка России ОАО, за несвоевременное погашение задолженности по Счету взимается неустойка в соответствии с Тарифами Банка. Сумма неустойки начисляется на остаток просроченного основного долга и рассчитывается с даты образования просроченной задолженности (в</w:t>
      </w:r>
      <w:r>
        <w:rPr>
          <w:sz w:val="28"/>
          <w:szCs w:val="28"/>
          <w:lang w:val="en-BE" w:eastAsia="en-BE" w:bidi="ar-SA"/>
        </w:rPr>
        <w:t xml:space="preserve">ключая эту дату) до даты внесения платежа (не включая эту дату). </w:t>
      </w:r>
    </w:p>
    <w:p w14:paraId="3007367C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представленным расчетом период образовавшейся задолженности с 19.05.2019 г. по 23.12.2019 г., сумма задолженности по состоянию на 23.12.2019 года составляет </w:t>
      </w:r>
      <w:r>
        <w:rPr>
          <w:rStyle w:val="cat-Sumgrp-13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в том чис</w:t>
      </w:r>
      <w:r>
        <w:rPr>
          <w:sz w:val="28"/>
          <w:szCs w:val="28"/>
          <w:lang w:val="en-BE" w:eastAsia="en-BE" w:bidi="ar-SA"/>
        </w:rPr>
        <w:t xml:space="preserve">ле: просроченный основной долг - </w:t>
      </w:r>
      <w:r>
        <w:rPr>
          <w:rStyle w:val="cat-Sumgrp-14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- </w:t>
      </w:r>
      <w:r>
        <w:rPr>
          <w:rStyle w:val="cat-Sumgrp-15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1FC2047F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адрес Должника 20.11.2019 г. направлялось требование о нарушении им условий использования международной карты Сбербанка, однако, данное требования ответчиком до настоящего времени не</w:t>
      </w:r>
      <w:r>
        <w:rPr>
          <w:sz w:val="28"/>
          <w:szCs w:val="28"/>
          <w:lang w:val="en-BE" w:eastAsia="en-BE" w:bidi="ar-SA"/>
        </w:rPr>
        <w:t xml:space="preserve"> исполнено.</w:t>
      </w:r>
    </w:p>
    <w:p w14:paraId="7133409E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расчета представленного стороной истца в судебное заседания 26 марта 2021 года ответчиком погашена образовавшаяся задолженность в полном объеме в период рассмотрения гражданского дела в суде, в связи с чем истец просит взыскать с</w:t>
      </w:r>
      <w:r>
        <w:rPr>
          <w:sz w:val="28"/>
          <w:szCs w:val="28"/>
          <w:lang w:val="en-BE" w:eastAsia="en-BE" w:bidi="ar-SA"/>
        </w:rPr>
        <w:t xml:space="preserve"> ответчика только расходы по оплате государственной пошлины.</w:t>
      </w:r>
    </w:p>
    <w:p w14:paraId="5642EE59" w14:textId="77777777" w:rsidR="00A17EE5" w:rsidRDefault="00282F73">
      <w:pPr>
        <w:ind w:right="14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разъяснениями, содержащимися в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абзаце втором пункта 26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Российской Федерации от 21.01.2016 N 1 "О некоторых вопросах применения законодательства о </w:t>
      </w:r>
      <w:r>
        <w:rPr>
          <w:sz w:val="28"/>
          <w:szCs w:val="28"/>
          <w:lang w:val="en-BE" w:eastAsia="en-BE" w:bidi="ar-SA"/>
        </w:rPr>
        <w:lastRenderedPageBreak/>
        <w:t>возмещении издержек, связанных с рассмотрением дела", в случае добровольного удовлетво</w:t>
      </w:r>
      <w:r>
        <w:rPr>
          <w:sz w:val="28"/>
          <w:szCs w:val="28"/>
          <w:lang w:val="en-BE" w:eastAsia="en-BE" w:bidi="ar-SA"/>
        </w:rPr>
        <w:t>рения исковых требований ответчиком после обращения истца в суд и принятия судебного решения по такому делу судебные издержки также подлежат взысканию с ответчика.</w:t>
      </w:r>
    </w:p>
    <w:p w14:paraId="60BEBD66" w14:textId="77777777" w:rsidR="00A17EE5" w:rsidRDefault="00282F73">
      <w:pPr>
        <w:ind w:right="14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расходы по оплате государственной пошлины, понесенные истцом при подаче исков</w:t>
      </w:r>
      <w:r>
        <w:rPr>
          <w:sz w:val="28"/>
          <w:szCs w:val="28"/>
          <w:lang w:val="en-BE" w:eastAsia="en-BE" w:bidi="ar-SA"/>
        </w:rPr>
        <w:t xml:space="preserve">ого заявления в размере </w:t>
      </w:r>
      <w:r>
        <w:rPr>
          <w:rStyle w:val="cat-Sumgrp-16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подлежат взысканию с ответчика, поскольку требования истца были удовлетворены ответчиком после подачи истцом искового заявления в суд и принятия его судом к производству.</w:t>
      </w:r>
    </w:p>
    <w:p w14:paraId="1074CF92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</w:t>
      </w:r>
      <w:r>
        <w:rPr>
          <w:sz w:val="28"/>
          <w:szCs w:val="28"/>
          <w:lang w:val="en-BE" w:eastAsia="en-BE" w:bidi="ar-SA"/>
        </w:rPr>
        <w:t>8, 199 ГПК РФ, суд,</w:t>
      </w:r>
    </w:p>
    <w:p w14:paraId="6C4BBB86" w14:textId="77777777" w:rsidR="00A17EE5" w:rsidRDefault="00282F7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065F952" w14:textId="77777777" w:rsidR="00A17EE5" w:rsidRDefault="00282F73">
      <w:pPr>
        <w:jc w:val="center"/>
        <w:rPr>
          <w:sz w:val="28"/>
          <w:szCs w:val="28"/>
          <w:lang w:val="en-BE" w:eastAsia="en-BE" w:bidi="ar-SA"/>
        </w:rPr>
      </w:pPr>
    </w:p>
    <w:p w14:paraId="531A7928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Публичного акционерного общества Сбербанк в лице филиала Московского банка ПАО Сбербанк к </w:t>
      </w:r>
      <w:r>
        <w:rPr>
          <w:rStyle w:val="cat-FIOgrp-7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(Цапочкиной) </w:t>
      </w:r>
      <w:r>
        <w:rPr>
          <w:rStyle w:val="cat-FIOgrp-6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 - удовлетворить.</w:t>
      </w:r>
    </w:p>
    <w:p w14:paraId="39A6E07A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1FE8634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со </w:t>
      </w:r>
      <w:r>
        <w:rPr>
          <w:rStyle w:val="cat-FIOgrp-7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(Цапочкиной) </w:t>
      </w:r>
      <w:r>
        <w:rPr>
          <w:rStyle w:val="cat-FIOgrp-9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Сбербанк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банка ПАО Сбербанк расходы по оплате государственной пошлины в размере </w:t>
      </w:r>
      <w:r>
        <w:rPr>
          <w:rStyle w:val="cat-Sumgrp-16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2C6F6996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9325A29" w14:textId="77777777" w:rsidR="00A17EE5" w:rsidRDefault="00282F7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Зюзинский районный суд </w:t>
      </w:r>
      <w:r>
        <w:rPr>
          <w:rStyle w:val="cat-Addressgrp-1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в окончательно</w:t>
      </w:r>
      <w:r>
        <w:rPr>
          <w:sz w:val="28"/>
          <w:szCs w:val="28"/>
          <w:lang w:val="en-BE" w:eastAsia="en-BE" w:bidi="ar-SA"/>
        </w:rPr>
        <w:t>й форме.</w:t>
      </w:r>
    </w:p>
    <w:p w14:paraId="2BB9B95A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0F087F19" w14:textId="77777777" w:rsidR="00A17EE5" w:rsidRDefault="00282F7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FIOgrp-2rplc-31"/>
          <w:sz w:val="28"/>
          <w:szCs w:val="28"/>
          <w:lang w:val="en-BE" w:eastAsia="en-BE" w:bidi="ar-SA"/>
        </w:rPr>
        <w:t>фио</w:t>
      </w:r>
    </w:p>
    <w:sectPr w:rsidR="00A17EE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4C5"/>
    <w:rsid w:val="002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91C9697"/>
  <w15:chartTrackingRefBased/>
  <w15:docId w15:val="{F74C2FC6-3EBE-476A-BF17-06D8B7BB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7rplc-6">
    <w:name w:val="cat-FIO grp-7 rplc-6"/>
    <w:basedOn w:val="a0"/>
  </w:style>
  <w:style w:type="character" w:customStyle="1" w:styleId="cat-FIOgrp-6rplc-7">
    <w:name w:val="cat-FIO grp-6 rplc-7"/>
    <w:basedOn w:val="a0"/>
  </w:style>
  <w:style w:type="character" w:customStyle="1" w:styleId="cat-FIOgrp-7rplc-8">
    <w:name w:val="cat-FIO grp-7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FIOgrp-8rplc-16">
    <w:name w:val="cat-FIO grp-8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FIOgrp-7rplc-18">
    <w:name w:val="cat-FIO grp-7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7rplc-20">
    <w:name w:val="cat-FIO grp-7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FIOgrp-9rplc-28">
    <w:name w:val="cat-FIO grp-9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Addressgrp-1rplc-30">
    <w:name w:val="cat-Address grp-1 rplc-30"/>
    <w:basedOn w:val="a0"/>
  </w:style>
  <w:style w:type="character" w:customStyle="1" w:styleId="cat-FIOgrp-2rplc-31">
    <w:name w:val="cat-FIO grp-2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EE9E541F5F62FD7F7A12CA9E7537FB1FB88B01824801E1F68FD64FF3C9DD079E7CA061E5F328940486BBDA47527A6E1E63F8100880549F3D5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