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D8C3D" w14:textId="77777777" w:rsidR="00CA6634" w:rsidRPr="00E31550" w:rsidRDefault="00DC78D9">
      <w:pPr>
        <w:jc w:val="center"/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  <w:r w:rsidRPr="00E31550">
        <w:rPr>
          <w:rFonts w:ascii="Arial Narrow" w:hAnsi="Arial Narrow"/>
          <w:b/>
          <w:sz w:val="28"/>
          <w:szCs w:val="28"/>
        </w:rPr>
        <w:t>РЕШЕНИЕ</w:t>
      </w:r>
    </w:p>
    <w:p w14:paraId="6F69F32C" w14:textId="77777777" w:rsidR="00CA6634" w:rsidRPr="00E31550" w:rsidRDefault="00DC78D9">
      <w:pPr>
        <w:jc w:val="center"/>
        <w:rPr>
          <w:rFonts w:ascii="Arial Narrow" w:hAnsi="Arial Narrow"/>
          <w:b/>
          <w:sz w:val="28"/>
          <w:szCs w:val="28"/>
        </w:rPr>
      </w:pPr>
      <w:r w:rsidRPr="00E31550">
        <w:rPr>
          <w:rFonts w:ascii="Arial Narrow" w:hAnsi="Arial Narrow"/>
          <w:b/>
          <w:sz w:val="28"/>
          <w:szCs w:val="28"/>
        </w:rPr>
        <w:t>ИМЕНЕМ РОССИЙСКОЙ ФЕДЕРАЦИИ</w:t>
      </w:r>
    </w:p>
    <w:p w14:paraId="4EA2D84B" w14:textId="77777777" w:rsidR="00CA6634" w:rsidRPr="00E31550" w:rsidRDefault="00DC78D9" w:rsidP="00A34022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22 мая</w:t>
      </w:r>
      <w:r w:rsidRPr="00E31550">
        <w:rPr>
          <w:rFonts w:ascii="Arial Narrow" w:hAnsi="Arial Narrow"/>
          <w:sz w:val="28"/>
          <w:szCs w:val="28"/>
        </w:rPr>
        <w:t xml:space="preserve"> 201</w:t>
      </w:r>
      <w:r w:rsidRPr="00E31550">
        <w:rPr>
          <w:rFonts w:ascii="Arial Narrow" w:hAnsi="Arial Narrow"/>
          <w:sz w:val="28"/>
          <w:szCs w:val="28"/>
        </w:rPr>
        <w:t>5</w:t>
      </w:r>
      <w:r w:rsidRPr="00E31550">
        <w:rPr>
          <w:rFonts w:ascii="Arial Narrow" w:hAnsi="Arial Narrow"/>
          <w:sz w:val="28"/>
          <w:szCs w:val="28"/>
        </w:rPr>
        <w:t xml:space="preserve"> года</w:t>
      </w:r>
      <w:r w:rsidRPr="00E31550">
        <w:rPr>
          <w:rFonts w:ascii="Arial Narrow" w:hAnsi="Arial Narrow"/>
          <w:sz w:val="28"/>
          <w:szCs w:val="28"/>
        </w:rPr>
        <w:tab/>
      </w:r>
      <w:r w:rsidRPr="00E31550">
        <w:rPr>
          <w:rFonts w:ascii="Arial Narrow" w:hAnsi="Arial Narrow"/>
          <w:sz w:val="28"/>
          <w:szCs w:val="28"/>
        </w:rPr>
        <w:tab/>
      </w:r>
      <w:r w:rsidRPr="00E31550">
        <w:rPr>
          <w:rFonts w:ascii="Arial Narrow" w:hAnsi="Arial Narrow"/>
          <w:sz w:val="28"/>
          <w:szCs w:val="28"/>
        </w:rPr>
        <w:tab/>
      </w:r>
      <w:r w:rsidRPr="00E31550">
        <w:rPr>
          <w:rFonts w:ascii="Arial Narrow" w:hAnsi="Arial Narrow"/>
          <w:sz w:val="28"/>
          <w:szCs w:val="28"/>
        </w:rPr>
        <w:tab/>
        <w:t xml:space="preserve">                             г. Москва</w:t>
      </w:r>
    </w:p>
    <w:p w14:paraId="58509215" w14:textId="77777777" w:rsidR="00CA6634" w:rsidRPr="00E31550" w:rsidRDefault="00DC78D9">
      <w:pPr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 xml:space="preserve">Тушинский районный суд  г. Москвы в составе: </w:t>
      </w:r>
    </w:p>
    <w:p w14:paraId="26010B7E" w14:textId="77777777" w:rsidR="00CA6634" w:rsidRPr="00E31550" w:rsidRDefault="00DC78D9">
      <w:pPr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 xml:space="preserve">председательствующего судьи </w:t>
      </w:r>
      <w:r w:rsidRPr="00E31550">
        <w:rPr>
          <w:rFonts w:ascii="Arial Narrow" w:hAnsi="Arial Narrow"/>
          <w:sz w:val="28"/>
          <w:szCs w:val="28"/>
        </w:rPr>
        <w:tab/>
        <w:t>Ушаковой Т.Г.,</w:t>
      </w:r>
    </w:p>
    <w:p w14:paraId="1122AEC7" w14:textId="77777777" w:rsidR="00CA6634" w:rsidRPr="00E31550" w:rsidRDefault="00DC78D9">
      <w:pPr>
        <w:pStyle w:val="21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при секретаре</w:t>
      </w:r>
      <w:r w:rsidRPr="00E31550">
        <w:rPr>
          <w:rFonts w:ascii="Arial Narrow" w:hAnsi="Arial Narrow"/>
          <w:sz w:val="28"/>
          <w:szCs w:val="28"/>
        </w:rPr>
        <w:tab/>
      </w:r>
      <w:r w:rsidRPr="00E31550">
        <w:rPr>
          <w:rFonts w:ascii="Arial Narrow" w:hAnsi="Arial Narrow"/>
          <w:sz w:val="28"/>
          <w:szCs w:val="28"/>
        </w:rPr>
        <w:tab/>
      </w:r>
      <w:r w:rsidRPr="00E31550">
        <w:rPr>
          <w:rFonts w:ascii="Arial Narrow" w:hAnsi="Arial Narrow"/>
          <w:sz w:val="28"/>
          <w:szCs w:val="28"/>
        </w:rPr>
        <w:tab/>
      </w:r>
      <w:r w:rsidRPr="00E31550">
        <w:rPr>
          <w:rFonts w:ascii="Arial Narrow" w:hAnsi="Arial Narrow"/>
          <w:sz w:val="28"/>
          <w:szCs w:val="28"/>
        </w:rPr>
        <w:t>Сухановой А.Д</w:t>
      </w:r>
      <w:r w:rsidRPr="00E31550">
        <w:rPr>
          <w:rFonts w:ascii="Arial Narrow" w:hAnsi="Arial Narrow"/>
          <w:sz w:val="28"/>
          <w:szCs w:val="28"/>
        </w:rPr>
        <w:t>.</w:t>
      </w:r>
      <w:r w:rsidRPr="00E31550">
        <w:rPr>
          <w:rFonts w:ascii="Arial Narrow" w:hAnsi="Arial Narrow"/>
          <w:sz w:val="28"/>
          <w:szCs w:val="28"/>
        </w:rPr>
        <w:t>,</w:t>
      </w:r>
      <w:r w:rsidRPr="00E31550">
        <w:rPr>
          <w:rFonts w:ascii="Arial Narrow" w:hAnsi="Arial Narrow"/>
          <w:sz w:val="28"/>
          <w:szCs w:val="28"/>
        </w:rPr>
        <w:t xml:space="preserve">   </w:t>
      </w:r>
    </w:p>
    <w:p w14:paraId="7A97BF23" w14:textId="77777777" w:rsidR="00CA6634" w:rsidRPr="00E31550" w:rsidRDefault="00DC78D9" w:rsidP="00564613">
      <w:pPr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рассмотрев в открытом судебном засед</w:t>
      </w:r>
      <w:r w:rsidRPr="00E31550">
        <w:rPr>
          <w:rFonts w:ascii="Arial Narrow" w:hAnsi="Arial Narrow"/>
          <w:sz w:val="28"/>
          <w:szCs w:val="28"/>
        </w:rPr>
        <w:t>ании гражданское дело № 2-</w:t>
      </w:r>
      <w:r w:rsidRPr="00E31550">
        <w:rPr>
          <w:rFonts w:ascii="Arial Narrow" w:hAnsi="Arial Narrow"/>
          <w:sz w:val="28"/>
          <w:szCs w:val="28"/>
        </w:rPr>
        <w:t>11</w:t>
      </w:r>
      <w:r w:rsidRPr="00E31550">
        <w:rPr>
          <w:rFonts w:ascii="Arial Narrow" w:hAnsi="Arial Narrow"/>
          <w:sz w:val="28"/>
          <w:szCs w:val="28"/>
        </w:rPr>
        <w:t>30</w:t>
      </w:r>
      <w:r w:rsidRPr="00E31550">
        <w:rPr>
          <w:rFonts w:ascii="Arial Narrow" w:hAnsi="Arial Narrow"/>
          <w:sz w:val="28"/>
          <w:szCs w:val="28"/>
        </w:rPr>
        <w:t>/1</w:t>
      </w:r>
      <w:r w:rsidRPr="00E31550">
        <w:rPr>
          <w:rFonts w:ascii="Arial Narrow" w:hAnsi="Arial Narrow"/>
          <w:sz w:val="28"/>
          <w:szCs w:val="28"/>
        </w:rPr>
        <w:t>5</w:t>
      </w:r>
      <w:r w:rsidRPr="00E31550">
        <w:rPr>
          <w:rFonts w:ascii="Arial Narrow" w:hAnsi="Arial Narrow"/>
          <w:sz w:val="28"/>
          <w:szCs w:val="28"/>
        </w:rPr>
        <w:t xml:space="preserve"> по иску Открытого акционерного общества «Сбербанк России» в лице филиала – Московского банка ОАО «Сбербанк России» к </w:t>
      </w:r>
      <w:r w:rsidRPr="00E31550">
        <w:rPr>
          <w:rFonts w:ascii="Arial Narrow" w:hAnsi="Arial Narrow"/>
          <w:sz w:val="28"/>
          <w:szCs w:val="28"/>
        </w:rPr>
        <w:t>Непомнящему А</w:t>
      </w:r>
      <w:r>
        <w:rPr>
          <w:rFonts w:ascii="Arial Narrow" w:hAnsi="Arial Narrow"/>
          <w:sz w:val="28"/>
          <w:szCs w:val="28"/>
        </w:rPr>
        <w:t>.</w:t>
      </w:r>
      <w:r w:rsidRPr="00E31550">
        <w:rPr>
          <w:rFonts w:ascii="Arial Narrow" w:hAnsi="Arial Narrow"/>
          <w:sz w:val="28"/>
          <w:szCs w:val="28"/>
        </w:rPr>
        <w:t xml:space="preserve"> Ю</w:t>
      </w:r>
      <w:r>
        <w:rPr>
          <w:rFonts w:ascii="Arial Narrow" w:hAnsi="Arial Narrow"/>
          <w:sz w:val="28"/>
          <w:szCs w:val="28"/>
        </w:rPr>
        <w:t>.</w:t>
      </w:r>
      <w:r w:rsidRPr="00E31550">
        <w:rPr>
          <w:rFonts w:ascii="Arial Narrow" w:hAnsi="Arial Narrow"/>
          <w:sz w:val="28"/>
          <w:szCs w:val="28"/>
        </w:rPr>
        <w:t xml:space="preserve"> </w:t>
      </w:r>
      <w:r w:rsidRPr="00E31550">
        <w:rPr>
          <w:rFonts w:ascii="Arial Narrow" w:hAnsi="Arial Narrow"/>
          <w:sz w:val="28"/>
          <w:szCs w:val="28"/>
        </w:rPr>
        <w:t xml:space="preserve">о взыскании ссудной задолженности по </w:t>
      </w:r>
      <w:r w:rsidRPr="00E31550">
        <w:rPr>
          <w:rFonts w:ascii="Arial Narrow" w:hAnsi="Arial Narrow"/>
          <w:sz w:val="28"/>
          <w:szCs w:val="28"/>
        </w:rPr>
        <w:t>банковской карте</w:t>
      </w:r>
      <w:r w:rsidRPr="00E31550">
        <w:rPr>
          <w:rFonts w:ascii="Arial Narrow" w:hAnsi="Arial Narrow"/>
          <w:sz w:val="28"/>
          <w:szCs w:val="28"/>
        </w:rPr>
        <w:t>,</w:t>
      </w:r>
    </w:p>
    <w:p w14:paraId="2A8CA06C" w14:textId="77777777" w:rsidR="00CA6634" w:rsidRPr="00E31550" w:rsidRDefault="00DC78D9" w:rsidP="0056461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E31550">
        <w:rPr>
          <w:rFonts w:ascii="Arial Narrow" w:hAnsi="Arial Narrow"/>
          <w:b/>
          <w:bCs/>
          <w:sz w:val="28"/>
          <w:szCs w:val="28"/>
        </w:rPr>
        <w:t>УСТАНОВИЛ:</w:t>
      </w:r>
    </w:p>
    <w:p w14:paraId="6FF308B4" w14:textId="77777777" w:rsidR="00CA6634" w:rsidRPr="00E31550" w:rsidRDefault="00DC78D9" w:rsidP="00E31550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 xml:space="preserve">Открытое акционерное </w:t>
      </w:r>
      <w:r w:rsidRPr="00E31550">
        <w:rPr>
          <w:rFonts w:ascii="Arial Narrow" w:hAnsi="Arial Narrow"/>
          <w:sz w:val="28"/>
          <w:szCs w:val="28"/>
        </w:rPr>
        <w:t xml:space="preserve">общество «Сбербанк России» в лице филиала –  Московского банка ОАО «Сбербанк России» обратилось в суд с иском </w:t>
      </w:r>
      <w:r w:rsidRPr="00E31550">
        <w:rPr>
          <w:rFonts w:ascii="Arial Narrow" w:hAnsi="Arial Narrow"/>
          <w:sz w:val="28"/>
          <w:szCs w:val="28"/>
        </w:rPr>
        <w:t>Непомнящему А.Ю.</w:t>
      </w:r>
      <w:r w:rsidRPr="00E31550">
        <w:rPr>
          <w:rFonts w:ascii="Arial Narrow" w:hAnsi="Arial Narrow"/>
          <w:sz w:val="28"/>
          <w:szCs w:val="28"/>
        </w:rPr>
        <w:t xml:space="preserve"> с требованиями о </w:t>
      </w:r>
      <w:r w:rsidRPr="00E31550">
        <w:rPr>
          <w:rFonts w:ascii="Arial Narrow" w:hAnsi="Arial Narrow"/>
          <w:sz w:val="28"/>
          <w:szCs w:val="28"/>
        </w:rPr>
        <w:t xml:space="preserve">взыскании просроченного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основного долга в размере 77836 руб. 14 коп., срочных процентов на просроченный основной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долг в размере 426 руб. 50 коп., просроченных процентов в размере 4862 руб. 09 коп., </w:t>
      </w:r>
      <w:r w:rsidRPr="00E31550">
        <w:rPr>
          <w:rFonts w:ascii="Arial Narrow" w:hAnsi="Arial Narrow"/>
          <w:sz w:val="28"/>
          <w:szCs w:val="28"/>
        </w:rPr>
        <w:t>а также расход</w:t>
      </w:r>
      <w:r w:rsidRPr="00E31550">
        <w:rPr>
          <w:rFonts w:ascii="Arial Narrow" w:hAnsi="Arial Narrow"/>
          <w:sz w:val="28"/>
          <w:szCs w:val="28"/>
        </w:rPr>
        <w:t>ов</w:t>
      </w:r>
      <w:r w:rsidRPr="00E31550">
        <w:rPr>
          <w:rFonts w:ascii="Arial Narrow" w:hAnsi="Arial Narrow"/>
          <w:sz w:val="28"/>
          <w:szCs w:val="28"/>
        </w:rPr>
        <w:t xml:space="preserve"> </w:t>
      </w:r>
      <w:r w:rsidRPr="00E31550">
        <w:rPr>
          <w:rFonts w:ascii="Arial Narrow" w:hAnsi="Arial Narrow"/>
          <w:sz w:val="28"/>
          <w:szCs w:val="28"/>
        </w:rPr>
        <w:t>по уплате государственной пошлины</w:t>
      </w:r>
      <w:r w:rsidRPr="00E31550">
        <w:rPr>
          <w:rFonts w:ascii="Arial Narrow" w:hAnsi="Arial Narrow"/>
          <w:sz w:val="28"/>
          <w:szCs w:val="28"/>
        </w:rPr>
        <w:t xml:space="preserve"> в размере </w:t>
      </w:r>
      <w:r w:rsidRPr="00E31550">
        <w:rPr>
          <w:rFonts w:ascii="Arial Narrow" w:hAnsi="Arial Narrow"/>
          <w:sz w:val="28"/>
          <w:szCs w:val="28"/>
        </w:rPr>
        <w:t>2693 руб. 74</w:t>
      </w:r>
      <w:r w:rsidRPr="00E31550">
        <w:rPr>
          <w:rFonts w:ascii="Arial Narrow" w:hAnsi="Arial Narrow"/>
          <w:sz w:val="28"/>
          <w:szCs w:val="28"/>
        </w:rPr>
        <w:t xml:space="preserve"> к</w:t>
      </w:r>
      <w:r w:rsidRPr="00E31550">
        <w:rPr>
          <w:rFonts w:ascii="Arial Narrow" w:hAnsi="Arial Narrow"/>
          <w:sz w:val="28"/>
          <w:szCs w:val="28"/>
        </w:rPr>
        <w:t>оп</w:t>
      </w:r>
      <w:r w:rsidRPr="00E31550">
        <w:rPr>
          <w:rFonts w:ascii="Arial Narrow" w:hAnsi="Arial Narrow"/>
          <w:sz w:val="28"/>
          <w:szCs w:val="28"/>
        </w:rPr>
        <w:t xml:space="preserve">. </w:t>
      </w:r>
    </w:p>
    <w:p w14:paraId="59A1C771" w14:textId="77777777" w:rsidR="004D429E" w:rsidRPr="00E31550" w:rsidRDefault="00DC78D9" w:rsidP="00E31550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sz w:val="28"/>
          <w:szCs w:val="28"/>
        </w:rPr>
        <w:t>В обоснование иска указано, что</w:t>
      </w:r>
      <w:r w:rsidRPr="00E31550">
        <w:rPr>
          <w:rFonts w:ascii="Arial Narrow" w:hAnsi="Arial Narrow"/>
          <w:sz w:val="28"/>
          <w:szCs w:val="28"/>
        </w:rPr>
        <w:t xml:space="preserve">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17.01.2012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г. на основании заявления Непомнящего А.Ю. на п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олучение международной карты Сбербанка России и ОАО «Сбербанк России» был заключен договор о выпуске и обслуживании банковских карт с обслуживанием счета в российских рублях без предоставления овердрафта по счету банковской карты. Отношения между Непомнящи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м А.Ю., являющимся держателем банковской карты, и ОАО «Сбербанк России» основываются на Заявлении Непомнящего А.Ю. на получение международной карты, Условиях использования банковских карт ОАО Сбербанк России», Памятке Держателя карты и Тарифах Банка, котор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ые в совокупности являются заключенным между Клиентом и Сбербанком России Договором о выпуске и обслуживании банковских карт. Указанный договор относится к договорам присоединения, основные положения которого изложены в Условиях использования карт ОАО «Сбе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рбанк России» в совокупности с Памяткой Держателя карт ОАО «Сбербанк России», Заявлением на получение карты, Альбомом тарифов на услуги, предоставляемые ОАО «Сбербанк России» физическим лицам. Во исполнение заключенного договора Непомнящему А.Ю. была выдан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а банковская карта </w:t>
      </w:r>
      <w:r w:rsidRPr="00E31550">
        <w:rPr>
          <w:rFonts w:ascii="Arial Narrow" w:hAnsi="Arial Narrow"/>
          <w:color w:val="000000"/>
          <w:sz w:val="28"/>
          <w:szCs w:val="28"/>
          <w:lang w:val="en-US" w:eastAsia="ru-RU"/>
        </w:rPr>
        <w:t>Visa</w:t>
      </w:r>
      <w:r w:rsidRPr="00E31550">
        <w:rPr>
          <w:rFonts w:ascii="Arial Narrow" w:hAnsi="Arial Narrow"/>
          <w:color w:val="000000"/>
          <w:sz w:val="28"/>
          <w:szCs w:val="28"/>
          <w:lang w:eastAsia="ru-RU"/>
        </w:rPr>
        <w:t xml:space="preserve"> </w:t>
      </w:r>
      <w:r w:rsidRPr="00E31550">
        <w:rPr>
          <w:rFonts w:ascii="Arial Narrow" w:hAnsi="Arial Narrow"/>
          <w:color w:val="000000"/>
          <w:sz w:val="28"/>
          <w:szCs w:val="28"/>
          <w:lang w:val="en-US" w:eastAsia="ru-RU"/>
        </w:rPr>
        <w:t>Classic</w:t>
      </w:r>
      <w:r w:rsidRPr="00E31550">
        <w:rPr>
          <w:rFonts w:ascii="Arial Narrow" w:hAnsi="Arial Narrow"/>
          <w:color w:val="000000"/>
          <w:sz w:val="28"/>
          <w:szCs w:val="28"/>
          <w:lang w:eastAsia="ru-RU"/>
        </w:rPr>
        <w:t xml:space="preserve">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№ </w:t>
      </w:r>
      <w:r>
        <w:rPr>
          <w:rFonts w:ascii="Arial Narrow" w:hAnsi="Arial Narrow"/>
          <w:color w:val="000000"/>
          <w:sz w:val="28"/>
          <w:szCs w:val="28"/>
          <w:lang w:val="ru" w:eastAsia="ru-RU"/>
        </w:rPr>
        <w:t>***********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.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Для отражения операций, проводимых с использованием международной банковской карты в соответствии с заключенным договором, был открыт счет № 40817810038170709580 и договор № 005837930. 14.04.2014 г. ответчик п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роводил через банкомат - устройство самообслуживания № 091007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-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операцию взноса наличных денежных средств на счет карты № 40817810038170709580 с использованием карты № 4276380013249862. Из ленты банкомата Сбербанка России, технического заключения следует,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что 14.04.2014 г. в 12 час. 34 мин. ответчиком было внесено 17 купюр номиналом 5000 руб. и 9 купюр номиналом 1000 руб. 14.04.2014 г. в 11 час. 35 мин. 52 сек. произошел аппаратный сбой устройства самообслуживания прием купюр на время был прекращен, при это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м карта Непомнящему А.Ю. не возвращалась, и сессия обслуживания не прерывалась. Так как сессия обслуживания не закончилась, счетчики принятых купюр не были сброшены, карта возвращена не была, Непомнящий А.Ю. в данной сессии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lastRenderedPageBreak/>
        <w:t>подтверждает повторное сообщение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о приеме 94000 руб. В результате чего произошло «ложное» продолжение предыдущей сессии и Непомнящему А.Ю. выдалось сообщение об уже принятых 94000 руб., которое он подтвердил, хотя денежные средства не вносил (в электронных файлах повторный взнос денежных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средств не зафиксирован). Истец утверждает, что после зачисления на счет ответчика фактически внесенной им денежной суммы в размере 94000 руб. истцом ошибочно было произведено повторное принятие аналогичной суммы на счет клиента, в итоге вместо 94000 руб.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было зачислено на счет ответчика 188000 руб., из которых 94000 руб. - ошибочно. Поскольку денежные средства были зачислены ошибочно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,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истец просит их взыскать с ответчика. </w:t>
      </w:r>
    </w:p>
    <w:p w14:paraId="2E6D232D" w14:textId="77777777" w:rsidR="004D429E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Представитель истца Тимохов И.С., действующий на основании доверенности, в судебном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заседании заявленные требования поддержал в полном объеме.</w:t>
      </w:r>
    </w:p>
    <w:p w14:paraId="2BEB491E" w14:textId="77777777" w:rsidR="00733ED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Ответчик Непомящий А.Ю. в судебное заседание не явился, извещен </w:t>
      </w:r>
      <w:r w:rsidRPr="00E31550">
        <w:rPr>
          <w:rFonts w:ascii="Arial Narrow" w:hAnsi="Arial Narrow"/>
          <w:sz w:val="28"/>
          <w:szCs w:val="28"/>
        </w:rPr>
        <w:t>надлежащим образом, о причинах неявки суду не сообщил.</w:t>
      </w:r>
    </w:p>
    <w:p w14:paraId="7C60E095" w14:textId="77777777" w:rsidR="00733EDD" w:rsidRPr="00E31550" w:rsidRDefault="00DC78D9" w:rsidP="00E31550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По смыслу ст.14 Международного пакта о гражданских и политических правах лицо</w:t>
      </w:r>
      <w:r w:rsidRPr="00E31550">
        <w:rPr>
          <w:rFonts w:ascii="Arial Narrow" w:hAnsi="Arial Narrow"/>
          <w:sz w:val="28"/>
          <w:szCs w:val="28"/>
        </w:rPr>
        <w:t xml:space="preserve"> само определяет объем своих прав и обязанностей в гражданском процессе и реализует их по своему усмотрению. </w:t>
      </w:r>
    </w:p>
    <w:p w14:paraId="2B94A86B" w14:textId="77777777" w:rsidR="00733EDD" w:rsidRPr="00E31550" w:rsidRDefault="00DC78D9" w:rsidP="00E31550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В силу ст.155 ГПК РФ разбирательство гражданского дела происходит в судебном заседании с обязательным извещением лиц, участвующих в деле, о времен</w:t>
      </w:r>
      <w:r w:rsidRPr="00E31550">
        <w:rPr>
          <w:rFonts w:ascii="Arial Narrow" w:hAnsi="Arial Narrow"/>
          <w:sz w:val="28"/>
          <w:szCs w:val="28"/>
        </w:rPr>
        <w:t>и и месте заседания.</w:t>
      </w:r>
    </w:p>
    <w:p w14:paraId="010DE71E" w14:textId="77777777" w:rsidR="00733EDD" w:rsidRPr="00E31550" w:rsidRDefault="00DC78D9" w:rsidP="00E31550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В соответствии с п.1 ст.113 ГПК РФ лица, участвующие в деле, извещаются или вызываются в суд заказным письмом с уведомлением о вручении, судебной повесткой с уведомлением о вручении, телефонограммой или телеграммой, по факсимильной свя</w:t>
      </w:r>
      <w:r w:rsidRPr="00E31550">
        <w:rPr>
          <w:rFonts w:ascii="Arial Narrow" w:hAnsi="Arial Narrow"/>
          <w:sz w:val="28"/>
          <w:szCs w:val="28"/>
        </w:rPr>
        <w:t>зи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14:paraId="0D682000" w14:textId="77777777" w:rsidR="00733EDD" w:rsidRPr="00E31550" w:rsidRDefault="00DC78D9" w:rsidP="00E31550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В силу ст.9 ГК РФ граждане и юридические лица по своему усмотрению осуществляют принадлежащие им гражданские права.</w:t>
      </w:r>
    </w:p>
    <w:p w14:paraId="6EA05905" w14:textId="77777777" w:rsidR="00733EDD" w:rsidRPr="00E31550" w:rsidRDefault="00DC78D9" w:rsidP="00E31550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Учитывая, что судом предприняты меры к надлежащему извещению ответчи</w:t>
      </w:r>
      <w:r w:rsidRPr="00E31550">
        <w:rPr>
          <w:rFonts w:ascii="Arial Narrow" w:hAnsi="Arial Narrow"/>
          <w:sz w:val="28"/>
          <w:szCs w:val="28"/>
        </w:rPr>
        <w:t>ка</w:t>
      </w:r>
      <w:r w:rsidRPr="00E31550">
        <w:rPr>
          <w:rFonts w:ascii="Arial Narrow" w:hAnsi="Arial Narrow"/>
          <w:sz w:val="28"/>
          <w:szCs w:val="28"/>
        </w:rPr>
        <w:t xml:space="preserve"> о времени и месте рассмотрения дела, ответчи</w:t>
      </w:r>
      <w:r w:rsidRPr="00E31550">
        <w:rPr>
          <w:rFonts w:ascii="Arial Narrow" w:hAnsi="Arial Narrow"/>
          <w:sz w:val="28"/>
          <w:szCs w:val="28"/>
        </w:rPr>
        <w:t xml:space="preserve">к </w:t>
      </w:r>
      <w:r w:rsidRPr="00E31550">
        <w:rPr>
          <w:rFonts w:ascii="Arial Narrow" w:hAnsi="Arial Narrow"/>
          <w:sz w:val="28"/>
          <w:szCs w:val="28"/>
        </w:rPr>
        <w:t>самостоятельно отказал</w:t>
      </w:r>
      <w:r w:rsidRPr="00E31550">
        <w:rPr>
          <w:rFonts w:ascii="Arial Narrow" w:hAnsi="Arial Narrow"/>
          <w:sz w:val="28"/>
          <w:szCs w:val="28"/>
        </w:rPr>
        <w:t>ся</w:t>
      </w:r>
      <w:r w:rsidRPr="00E31550">
        <w:rPr>
          <w:rFonts w:ascii="Arial Narrow" w:hAnsi="Arial Narrow"/>
          <w:sz w:val="28"/>
          <w:szCs w:val="28"/>
        </w:rPr>
        <w:t xml:space="preserve"> </w:t>
      </w:r>
      <w:r w:rsidRPr="00E31550">
        <w:rPr>
          <w:rFonts w:ascii="Arial Narrow" w:hAnsi="Arial Narrow"/>
          <w:sz w:val="28"/>
          <w:szCs w:val="28"/>
        </w:rPr>
        <w:t>от реализации права на получение судебной корреспонденции, а поэтому в данном случае извещение е</w:t>
      </w:r>
      <w:r w:rsidRPr="00E31550">
        <w:rPr>
          <w:rFonts w:ascii="Arial Narrow" w:hAnsi="Arial Narrow"/>
          <w:sz w:val="28"/>
          <w:szCs w:val="28"/>
        </w:rPr>
        <w:t>го</w:t>
      </w:r>
      <w:r w:rsidRPr="00E31550">
        <w:rPr>
          <w:rFonts w:ascii="Arial Narrow" w:hAnsi="Arial Narrow"/>
          <w:sz w:val="28"/>
          <w:szCs w:val="28"/>
        </w:rPr>
        <w:t xml:space="preserve"> о времени и мес</w:t>
      </w:r>
      <w:r w:rsidRPr="00E31550">
        <w:rPr>
          <w:rFonts w:ascii="Arial Narrow" w:hAnsi="Arial Narrow"/>
          <w:sz w:val="28"/>
          <w:szCs w:val="28"/>
        </w:rPr>
        <w:t xml:space="preserve">те рассмотрения дела следует признать надлежащим, </w:t>
      </w:r>
      <w:r w:rsidRPr="00E31550">
        <w:rPr>
          <w:rFonts w:ascii="Arial Narrow" w:hAnsi="Arial Narrow"/>
          <w:sz w:val="28"/>
          <w:szCs w:val="28"/>
        </w:rPr>
        <w:t>в связи с чем</w:t>
      </w:r>
      <w:r w:rsidRPr="00E31550">
        <w:rPr>
          <w:rFonts w:ascii="Arial Narrow" w:hAnsi="Arial Narrow"/>
          <w:sz w:val="28"/>
          <w:szCs w:val="28"/>
        </w:rPr>
        <w:t xml:space="preserve"> суд счел возможным рассмотреть дело в отс</w:t>
      </w:r>
      <w:r w:rsidRPr="00E31550">
        <w:rPr>
          <w:rFonts w:ascii="Arial Narrow" w:hAnsi="Arial Narrow"/>
          <w:sz w:val="28"/>
          <w:szCs w:val="28"/>
        </w:rPr>
        <w:t>утствие ответчи</w:t>
      </w:r>
      <w:r w:rsidRPr="00E31550">
        <w:rPr>
          <w:rFonts w:ascii="Arial Narrow" w:hAnsi="Arial Narrow"/>
          <w:sz w:val="28"/>
          <w:szCs w:val="28"/>
        </w:rPr>
        <w:t>ка</w:t>
      </w:r>
      <w:r w:rsidRPr="00E31550">
        <w:rPr>
          <w:rFonts w:ascii="Arial Narrow" w:hAnsi="Arial Narrow"/>
          <w:sz w:val="28"/>
          <w:szCs w:val="28"/>
        </w:rPr>
        <w:t xml:space="preserve"> в порядке ст.</w:t>
      </w:r>
      <w:r w:rsidRPr="00E31550">
        <w:rPr>
          <w:rFonts w:ascii="Arial Narrow" w:hAnsi="Arial Narrow"/>
          <w:sz w:val="28"/>
          <w:szCs w:val="28"/>
        </w:rPr>
        <w:t>167 ГПК РФ.</w:t>
      </w:r>
    </w:p>
    <w:p w14:paraId="188402ED" w14:textId="77777777" w:rsidR="00CA6634" w:rsidRPr="00E31550" w:rsidRDefault="00DC78D9" w:rsidP="00E31550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 xml:space="preserve">Суд, </w:t>
      </w:r>
      <w:r w:rsidRPr="00E31550">
        <w:rPr>
          <w:rFonts w:ascii="Arial Narrow" w:hAnsi="Arial Narrow"/>
          <w:sz w:val="28"/>
          <w:szCs w:val="28"/>
        </w:rPr>
        <w:t xml:space="preserve">выслушав представителя истца, </w:t>
      </w:r>
      <w:r w:rsidRPr="00E31550">
        <w:rPr>
          <w:rFonts w:ascii="Arial Narrow" w:hAnsi="Arial Narrow"/>
          <w:sz w:val="28"/>
          <w:szCs w:val="28"/>
        </w:rPr>
        <w:t>исследовав письменные материалы дела, оценив доказательства в их совокупн</w:t>
      </w:r>
      <w:r w:rsidRPr="00E31550">
        <w:rPr>
          <w:rFonts w:ascii="Arial Narrow" w:hAnsi="Arial Narrow"/>
          <w:sz w:val="28"/>
          <w:szCs w:val="28"/>
        </w:rPr>
        <w:t>ости, приходит к следующему.</w:t>
      </w:r>
    </w:p>
    <w:p w14:paraId="1B7101C3" w14:textId="77777777" w:rsidR="0013466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Согласно п.1 ст.432 ГК РФ,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 w14:paraId="595D4A23" w14:textId="77777777" w:rsidR="0013466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Существенными являются условия о предмете дог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14:paraId="6AF218AC" w14:textId="77777777" w:rsidR="0013466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На основании п.1 ст.4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25 ГК РФ, договор вступает в силу и становится обязательным для сторон с момента его заключения.</w:t>
      </w:r>
    </w:p>
    <w:p w14:paraId="64A97744" w14:textId="77777777" w:rsidR="0013466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lastRenderedPageBreak/>
        <w:t xml:space="preserve">Согласно ст.850 ГК РФ в случаях, когда в соответствии с договором банковского счета Банк осуществляет платежи со счета несмотря на отсутствие денежных средств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кредитование счета), Банк считается предоставившим клиенту кредит на соответствующую сумму со дня осуществления такого платежа.</w:t>
      </w:r>
    </w:p>
    <w:p w14:paraId="54516469" w14:textId="77777777" w:rsidR="0013466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Права и обязанности сторон, связанные с кредитованием счета, определяются правилами о займе и кредите (глава 42 ГК РФ), если дог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овором банковского счета не предусмотрено иное (п.2 ст.850 ГК РФ).</w:t>
      </w:r>
    </w:p>
    <w:p w14:paraId="518601E3" w14:textId="77777777" w:rsidR="0013466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Статья 810 ГК РФ предусматривает обязанность заемщика возвратить заимодавцу полученную сумму займа в срок и в порядке, предусмотренные договором займа.</w:t>
      </w:r>
    </w:p>
    <w:p w14:paraId="1D0330F7" w14:textId="77777777" w:rsidR="00134669" w:rsidRPr="00E31550" w:rsidRDefault="00DC78D9" w:rsidP="00E31550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17.01.2012 г. на основании заявления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Непомнящего А.Ю. на получение международной карты Сбербанка России, и ОАО «Сбербанк России» был заключен договор о выпуске и обслуживании банковских карт с обслуживанием счета в российских рублях без предоставления овердрафта по счету банковской карты.</w:t>
      </w:r>
    </w:p>
    <w:p w14:paraId="1E7A42DB" w14:textId="77777777" w:rsidR="00134669" w:rsidRPr="00E31550" w:rsidRDefault="00DC78D9" w:rsidP="00E31550">
      <w:pPr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Отн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ошения между Непомнящим А.Ю., являющимся держателем банковской карты, и ОАО «Сбербанк России» основываются на заявлении Непомнящего А.Ю. на получение международной карты, Условиях использования банковских карт ОАО Сбербанк России», Памятке Держателя карты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и Тарифах Банка, которые в совокупности являются заключенным между Клиентом и Сбербанком России Договором о выпуске и обслуживании банковских карт. </w:t>
      </w:r>
    </w:p>
    <w:p w14:paraId="53639E34" w14:textId="77777777" w:rsidR="00134669" w:rsidRPr="00E31550" w:rsidRDefault="00DC78D9" w:rsidP="00E31550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Указанный договор относится к договорам присоединения, основные положения которого изложены в Условиях испо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льзования карт ОАО «Сбербанк России» в совокупности с Памяткой Держателя карт ОАО «Сбербанк России», Заявлением на получение карты, Альбомом тарифов на услуги, предоставляемые ОАО «Сбербанк России» физическим лицам.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ab/>
      </w:r>
    </w:p>
    <w:p w14:paraId="2FB91825" w14:textId="77777777" w:rsidR="0013466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Ответчик с «Условиями использования кар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т Сбербанка России», Памяткой держателя и Тарифами Сбербанка России был ознакомлен, согласен и обязался их выполнять, что подтверждается его подписью на заявлении на получение международной карты Сбербанка России. </w:t>
      </w:r>
    </w:p>
    <w:p w14:paraId="6AE00274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Согласно пункту 1.5 «Положения об эмиссии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банковских карт и об операциях, совершаемых с использованием платежных карт», утвержденных ЦБ РФ 24.12.2004 г., кредитная организация вправе осуществлять эмиссию расчетных (дебетовых) банковских карт. Расчетная (дебетовая) карта предназначена для совершен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ия операций ее держателем в пределах установленной кредитной организацией-эмитентом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яемого кредитной организацией -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2ECB1321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К правоотношениям, возникшим между Банком и Непомнящим А.Ю., в связи с выдач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ей банковской карты, применяются нормы ГК РФ о банковском счете. </w:t>
      </w:r>
    </w:p>
    <w:p w14:paraId="3FA99D8C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В силу ст.846 ГК РФ при включении договора клиенту открывается счет в банке на условиях согласованными сторонами.</w:t>
      </w:r>
    </w:p>
    <w:p w14:paraId="690DE56A" w14:textId="77777777" w:rsidR="0013466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Истцом взятые на себя обязательства были исполнены, ответчику была выдана ба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нковская карта </w:t>
      </w:r>
      <w:r w:rsidRPr="00E31550">
        <w:rPr>
          <w:rFonts w:ascii="Arial Narrow" w:hAnsi="Arial Narrow"/>
          <w:color w:val="000000"/>
          <w:sz w:val="28"/>
          <w:szCs w:val="28"/>
          <w:lang w:val="en-US" w:eastAsia="ru-RU"/>
        </w:rPr>
        <w:t>Visa</w:t>
      </w:r>
      <w:r w:rsidRPr="00E31550">
        <w:rPr>
          <w:rFonts w:ascii="Arial Narrow" w:hAnsi="Arial Narrow"/>
          <w:color w:val="000000"/>
          <w:sz w:val="28"/>
          <w:szCs w:val="28"/>
          <w:lang w:eastAsia="ru-RU"/>
        </w:rPr>
        <w:t xml:space="preserve"> </w:t>
      </w:r>
      <w:r w:rsidRPr="00E31550">
        <w:rPr>
          <w:rFonts w:ascii="Arial Narrow" w:hAnsi="Arial Narrow"/>
          <w:color w:val="000000"/>
          <w:sz w:val="28"/>
          <w:szCs w:val="28"/>
          <w:lang w:val="en-US" w:eastAsia="ru-RU"/>
        </w:rPr>
        <w:t>Classic</w:t>
      </w:r>
      <w:r w:rsidRPr="00E31550">
        <w:rPr>
          <w:rFonts w:ascii="Arial Narrow" w:hAnsi="Arial Narrow"/>
          <w:color w:val="000000"/>
          <w:sz w:val="28"/>
          <w:szCs w:val="28"/>
          <w:lang w:eastAsia="ru-RU"/>
        </w:rPr>
        <w:t xml:space="preserve">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№ </w:t>
      </w:r>
      <w:r>
        <w:rPr>
          <w:rFonts w:ascii="Arial Narrow" w:hAnsi="Arial Narrow"/>
          <w:color w:val="000000"/>
          <w:sz w:val="28"/>
          <w:szCs w:val="28"/>
          <w:lang w:val="ru" w:eastAsia="ru-RU"/>
        </w:rPr>
        <w:t>****************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, для отражения операций,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lastRenderedPageBreak/>
        <w:t xml:space="preserve">проводимых с использованием международной банковской карты в соответствии с заключенным договором, был открыт счет № </w:t>
      </w:r>
      <w:r>
        <w:rPr>
          <w:rFonts w:ascii="Arial Narrow" w:hAnsi="Arial Narrow"/>
          <w:color w:val="000000"/>
          <w:sz w:val="28"/>
          <w:szCs w:val="28"/>
          <w:lang w:val="ru" w:eastAsia="ru-RU"/>
        </w:rPr>
        <w:t>******************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и договор № </w:t>
      </w:r>
      <w:r>
        <w:rPr>
          <w:rFonts w:ascii="Arial Narrow" w:hAnsi="Arial Narrow"/>
          <w:color w:val="000000"/>
          <w:sz w:val="28"/>
          <w:szCs w:val="28"/>
          <w:lang w:val="ru" w:eastAsia="ru-RU"/>
        </w:rPr>
        <w:t>**************</w:t>
      </w:r>
    </w:p>
    <w:p w14:paraId="55270061" w14:textId="77777777" w:rsidR="004853E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14.04.2014 г. Непомня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щий А.Ю. проводил через банкомат - устройство самообслуживания № 091007, операцию взноса наличных денежных средств на счет карты № </w:t>
      </w:r>
      <w:r>
        <w:rPr>
          <w:rFonts w:ascii="Arial Narrow" w:hAnsi="Arial Narrow"/>
          <w:color w:val="000000"/>
          <w:sz w:val="28"/>
          <w:szCs w:val="28"/>
          <w:lang w:val="ru" w:eastAsia="ru-RU"/>
        </w:rPr>
        <w:t>***********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с использованием карты № </w:t>
      </w:r>
      <w:r>
        <w:rPr>
          <w:rFonts w:ascii="Arial Narrow" w:hAnsi="Arial Narrow"/>
          <w:color w:val="000000"/>
          <w:sz w:val="28"/>
          <w:szCs w:val="28"/>
          <w:lang w:val="ru" w:eastAsia="ru-RU"/>
        </w:rPr>
        <w:t>***********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, а именно: в 12 час. 34 мин. ответчиком было внесено 17 купюр номиналом 5000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руб. и 9 купюр номиналом 1000 руб., т.о. был осуществлен один раз взнос наличных денежных средств на сумму 94000 руб.</w:t>
      </w:r>
    </w:p>
    <w:p w14:paraId="54466027" w14:textId="77777777" w:rsidR="004853E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При этом 14.04.2014 г. в 11 час. 35 мин. 52 сек. произошел аппаратный сбой устройства самообслуживания прием купюр на время был прекращен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, при этом карта Непомнящему А.Ю. не возвращалась, и сессия обслуживания не прерывалась, поскольку сессия обслуживания не закончилась, счетчики принятых купюр не были сброшены, карта возвращена не была, Непомнящий А.Ю. в данной сессии подтверждает повторно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е сообщение о приеме 94000 руб.</w:t>
      </w:r>
    </w:p>
    <w:p w14:paraId="2AE3ACFC" w14:textId="77777777" w:rsidR="004853E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В результате указанных действий произошло «ложное» продолжение предыдущей сессии и Непомнящему А.Ю. выдалось сообщение об уже принятых 94000 руб., которое он подтвердил, хотя денежные средства не вносил.</w:t>
      </w:r>
    </w:p>
    <w:p w14:paraId="7B6FF9D6" w14:textId="77777777" w:rsidR="004853E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Как указывает истец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в иске, а у суда отсутствуют основания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для сомнений в представленных доказательствах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, после зачисления на счет ответчика фактически внесенной им денежной суммы в размере 94000 руб. истцом ошибочно было произведено повторное принятие аналогичной суммы на сч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ет клиента, в связи с чем вместо 94000 руб. было зачислено на счет ответчика 188000 руб., из которых 94000 руб. зачислены ошибочно в результате сбоя банкомата.</w:t>
      </w:r>
    </w:p>
    <w:p w14:paraId="11D09316" w14:textId="77777777" w:rsidR="004853E9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Представленные истцом в подтверждение требований лента банкомата, техническое заключение по опер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ации взноса наличных по карте ответчика, которое расшифровывает электронный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журнал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работы банкомата - ленту банкомата и отчет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ы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по счету карты, ответчиком не оспорены, возражения по ним суду не представлен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ы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.</w:t>
      </w:r>
    </w:p>
    <w:p w14:paraId="09A76EB7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В соответствии с п.2.4 Условий карта может быть и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спользована держателем для оплаты товаров и услуг, получения/взноса наличных денежных средств в кредитных организациях и через банкомат с модулем приема наличных и информационно - платежный терминал, а также совершения иных операций.</w:t>
      </w:r>
    </w:p>
    <w:p w14:paraId="774F0D09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Согласно п.4.1 Условий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Банк в соответствии с Тарифами Банка может предоставить Клиенту кредит в форме «овердрафт» («овердрафт») по счету.</w:t>
      </w:r>
    </w:p>
    <w:p w14:paraId="2EB41911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При образовании овердрафта на счете Банк начисляет на сумму задолженности проценты с даты отражения ее на ссудном счете (не включая эту дату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) до даты погашения задолженности (включительно) по ставке, установленной Тарифами Банка (п.4.6 Условий).</w:t>
      </w:r>
    </w:p>
    <w:p w14:paraId="4E327253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На основании п.5.1 Условий в случае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,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если овердрафт по счету не предусмотрен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,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держатель обязуется осуществлять операции с использованием карты в преде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лах остатка денежных средств на счете. В случае возникновения задолженности по счету клиент обязуется погасить сумму задолженности путем внесения (зачисления) денежных средств на счет.</w:t>
      </w:r>
    </w:p>
    <w:p w14:paraId="0058A922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lastRenderedPageBreak/>
        <w:t>Пунктом 14 Тарифов Сбербанка России на выпуск и обслуживание банковских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карт </w:t>
      </w:r>
      <w:r w:rsidRPr="00E31550">
        <w:rPr>
          <w:rFonts w:ascii="Arial Narrow" w:hAnsi="Arial Narrow"/>
          <w:color w:val="000000"/>
          <w:sz w:val="28"/>
          <w:szCs w:val="28"/>
          <w:lang w:val="en-US" w:eastAsia="ru-RU"/>
        </w:rPr>
        <w:t>Visa</w:t>
      </w:r>
      <w:r w:rsidRPr="00E31550">
        <w:rPr>
          <w:rFonts w:ascii="Arial Narrow" w:hAnsi="Arial Narrow"/>
          <w:color w:val="000000"/>
          <w:sz w:val="28"/>
          <w:szCs w:val="28"/>
          <w:lang w:eastAsia="ru-RU"/>
        </w:rPr>
        <w:t xml:space="preserve"> </w:t>
      </w:r>
      <w:r w:rsidRPr="00E31550">
        <w:rPr>
          <w:rFonts w:ascii="Arial Narrow" w:hAnsi="Arial Narrow"/>
          <w:color w:val="000000"/>
          <w:sz w:val="28"/>
          <w:szCs w:val="28"/>
          <w:lang w:val="en-US" w:eastAsia="ru-RU"/>
        </w:rPr>
        <w:t>Classic</w:t>
      </w:r>
      <w:r w:rsidRPr="00E31550">
        <w:rPr>
          <w:rFonts w:ascii="Arial Narrow" w:hAnsi="Arial Narrow"/>
          <w:color w:val="000000"/>
          <w:sz w:val="28"/>
          <w:szCs w:val="28"/>
          <w:lang w:eastAsia="ru-RU"/>
        </w:rPr>
        <w:t xml:space="preserve"> 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предусмотрено, что плата за неразрешенный овердрафт составляет 40 % годовых.</w:t>
      </w:r>
    </w:p>
    <w:p w14:paraId="645D1BB2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В соответствии с п.2.9 Положения ЦБ РФ «Об эмиссии платежных карт и об операциях, совершаемых с их использованием» от 24.12.2004 г. № 266-П, лента банкомата (ре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естр операций) или электронный журнал банкомата является основанием для составления расчетных и иных документов для отражения сумм операций, совершаемых с использованием платежных карт, в бухгалтерском учете, в частности составления счета клиента.</w:t>
      </w:r>
    </w:p>
    <w:p w14:paraId="62FC6B28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Согласно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ч.2 ст.854 ГК РФ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08A7D08D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В силу п.3.5 Условий клиент обязан возм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естить Банку суммы, ошибочно зачисленные Банком на его счет. В целях возмещения клиентом Банку сумм, предусмотренных в настоящем пункте, клиент дает согласие (заранее данный акцепт) Банку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,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и Банк имеет право на списание указанных сумм со счета без дополнит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ельного акцепта клиента.</w:t>
      </w:r>
    </w:p>
    <w:p w14:paraId="28F85DBB" w14:textId="77777777" w:rsidR="000A76BD" w:rsidRPr="00E31550" w:rsidRDefault="00DC78D9" w:rsidP="00E31550">
      <w:pPr>
        <w:suppressAutoHyphens w:val="0"/>
        <w:ind w:firstLine="709"/>
        <w:jc w:val="both"/>
        <w:rPr>
          <w:rFonts w:ascii="Arial Narrow" w:hAnsi="Arial Narrow"/>
          <w:color w:val="000000"/>
          <w:sz w:val="28"/>
          <w:szCs w:val="28"/>
          <w:lang w:val="ru" w:eastAsia="ru-RU"/>
        </w:rPr>
      </w:pP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На основании п.3.8 Условий клиент дает согласие (заранее данный акцепт) на то, что в случае возникновения просроченной задолженности по счету, по которому предусмотрен овердрафт, либо возникновения задолженности по счету, по которо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му овердрафт не предусмотрен, Банк списывает без дополнительного акцепта суммы неисполненного денежного обязательства в пределах остатка по счетам других карт клиента в Банке. Для этих целей клиент уполномочивает Банк конвертировать денежные средства, нахо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дящиеся на счетах клиента, в валюту неисполненного Клиентом денежного обязательства перед Банком по курсу, установленному Банком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>,</w:t>
      </w:r>
      <w:r w:rsidRPr="00E31550">
        <w:rPr>
          <w:rFonts w:ascii="Arial Narrow" w:hAnsi="Arial Narrow"/>
          <w:color w:val="000000"/>
          <w:sz w:val="28"/>
          <w:szCs w:val="28"/>
          <w:lang w:val="ru" w:eastAsia="ru-RU"/>
        </w:rPr>
        <w:t xml:space="preserve"> на дату списания денежных средств.</w:t>
      </w:r>
    </w:p>
    <w:p w14:paraId="5B30A4BA" w14:textId="77777777" w:rsidR="00CA6634" w:rsidRPr="00E31550" w:rsidRDefault="00DC78D9" w:rsidP="00E31550">
      <w:pPr>
        <w:shd w:val="clear" w:color="auto" w:fill="FFFFFF"/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В силу ст.ст.309-310 ГК РФ обязательства должны исполняться надлежащим образом, односторонн</w:t>
      </w:r>
      <w:r w:rsidRPr="00E31550">
        <w:rPr>
          <w:rFonts w:ascii="Arial Narrow" w:hAnsi="Arial Narrow"/>
          <w:sz w:val="28"/>
          <w:szCs w:val="28"/>
        </w:rPr>
        <w:t>ий отказ от исполнения обязательства или изменение его условий не допускаются.</w:t>
      </w:r>
    </w:p>
    <w:p w14:paraId="742C4C95" w14:textId="77777777" w:rsidR="00CA6634" w:rsidRPr="00E31550" w:rsidRDefault="00DC78D9" w:rsidP="00E31550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На основании ст.12 ГПК РФ гражданское судопроизводство осуществляется на основе состязательности и равноправия сторон.</w:t>
      </w:r>
    </w:p>
    <w:p w14:paraId="6282E83D" w14:textId="77777777" w:rsidR="00CA6634" w:rsidRPr="00E31550" w:rsidRDefault="00DC78D9" w:rsidP="00E31550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В соответствии со ст.56 ГПК РФ каждая сторона должна доказ</w:t>
      </w:r>
      <w:r w:rsidRPr="00E31550">
        <w:rPr>
          <w:rFonts w:ascii="Arial Narrow" w:hAnsi="Arial Narrow"/>
          <w:sz w:val="28"/>
          <w:szCs w:val="28"/>
        </w:rPr>
        <w:t>ать обстоятельства, на которые ссылается в подтверждение своих исковых требований или возражений. Стороны пользуются равными правами по предоставлению доказательств и участию в их исследовании.</w:t>
      </w:r>
    </w:p>
    <w:p w14:paraId="53144C98" w14:textId="77777777" w:rsidR="00CA6634" w:rsidRPr="00E31550" w:rsidRDefault="00DC78D9" w:rsidP="00E31550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 xml:space="preserve">Поскольку </w:t>
      </w:r>
      <w:r w:rsidRPr="00E31550">
        <w:rPr>
          <w:rFonts w:ascii="Arial Narrow" w:hAnsi="Arial Narrow"/>
          <w:sz w:val="28"/>
          <w:szCs w:val="28"/>
        </w:rPr>
        <w:t>истец в моменты сбоя устройства самообслуживания зач</w:t>
      </w:r>
      <w:r w:rsidRPr="00E31550">
        <w:rPr>
          <w:rFonts w:ascii="Arial Narrow" w:hAnsi="Arial Narrow"/>
          <w:sz w:val="28"/>
          <w:szCs w:val="28"/>
        </w:rPr>
        <w:t xml:space="preserve">ислил на счет карты ответчика вместо 94000 руб. </w:t>
      </w:r>
      <w:r w:rsidRPr="00E31550">
        <w:rPr>
          <w:rFonts w:ascii="Arial Narrow" w:hAnsi="Arial Narrow"/>
          <w:sz w:val="28"/>
          <w:szCs w:val="28"/>
        </w:rPr>
        <w:t xml:space="preserve">- </w:t>
      </w:r>
      <w:r w:rsidRPr="00E31550">
        <w:rPr>
          <w:rFonts w:ascii="Arial Narrow" w:hAnsi="Arial Narrow"/>
          <w:sz w:val="28"/>
          <w:szCs w:val="28"/>
        </w:rPr>
        <w:t>188000 руб.</w:t>
      </w:r>
      <w:r w:rsidRPr="00E31550">
        <w:rPr>
          <w:rFonts w:ascii="Arial Narrow" w:hAnsi="Arial Narrow"/>
          <w:sz w:val="28"/>
          <w:szCs w:val="28"/>
        </w:rPr>
        <w:t>,</w:t>
      </w:r>
      <w:r w:rsidRPr="00E31550">
        <w:rPr>
          <w:rFonts w:ascii="Arial Narrow" w:hAnsi="Arial Narrow"/>
          <w:sz w:val="28"/>
          <w:szCs w:val="28"/>
        </w:rPr>
        <w:t xml:space="preserve"> из которых </w:t>
      </w:r>
      <w:r w:rsidRPr="00E31550">
        <w:rPr>
          <w:rFonts w:ascii="Arial Narrow" w:hAnsi="Arial Narrow"/>
          <w:sz w:val="28"/>
          <w:szCs w:val="28"/>
        </w:rPr>
        <w:t>9</w:t>
      </w:r>
      <w:r w:rsidRPr="00E31550">
        <w:rPr>
          <w:rFonts w:ascii="Arial Narrow" w:hAnsi="Arial Narrow"/>
          <w:sz w:val="28"/>
          <w:szCs w:val="28"/>
        </w:rPr>
        <w:t xml:space="preserve">4000 руб. </w:t>
      </w:r>
      <w:r w:rsidRPr="00E31550">
        <w:rPr>
          <w:rFonts w:ascii="Arial Narrow" w:hAnsi="Arial Narrow"/>
          <w:sz w:val="28"/>
          <w:szCs w:val="28"/>
        </w:rPr>
        <w:t xml:space="preserve">– </w:t>
      </w:r>
      <w:r w:rsidRPr="00E31550">
        <w:rPr>
          <w:rFonts w:ascii="Arial Narrow" w:hAnsi="Arial Narrow"/>
          <w:sz w:val="28"/>
          <w:szCs w:val="28"/>
        </w:rPr>
        <w:t>ошибочно</w:t>
      </w:r>
      <w:r w:rsidRPr="00E31550">
        <w:rPr>
          <w:rFonts w:ascii="Arial Narrow" w:hAnsi="Arial Narrow"/>
          <w:sz w:val="28"/>
          <w:szCs w:val="28"/>
        </w:rPr>
        <w:t xml:space="preserve"> -</w:t>
      </w:r>
      <w:r w:rsidRPr="00E31550">
        <w:rPr>
          <w:rFonts w:ascii="Arial Narrow" w:hAnsi="Arial Narrow"/>
          <w:sz w:val="28"/>
          <w:szCs w:val="28"/>
        </w:rPr>
        <w:t xml:space="preserve"> в результате сбоя банкомата</w:t>
      </w:r>
      <w:r w:rsidRPr="00E31550">
        <w:rPr>
          <w:rFonts w:ascii="Arial Narrow" w:hAnsi="Arial Narrow"/>
          <w:sz w:val="28"/>
          <w:szCs w:val="28"/>
        </w:rPr>
        <w:t>, суд</w:t>
      </w:r>
      <w:r w:rsidRPr="00E31550">
        <w:rPr>
          <w:rFonts w:ascii="Arial Narrow" w:hAnsi="Arial Narrow"/>
          <w:sz w:val="28"/>
          <w:szCs w:val="28"/>
        </w:rPr>
        <w:t xml:space="preserve">, соглашаясь с расчетом истца, произведенным в соответствии с действующим законодательством, ответчиком не опровергнутым, </w:t>
      </w:r>
      <w:r w:rsidRPr="00E31550">
        <w:rPr>
          <w:rFonts w:ascii="Arial Narrow" w:hAnsi="Arial Narrow"/>
          <w:sz w:val="28"/>
          <w:szCs w:val="28"/>
        </w:rPr>
        <w:t>нахо</w:t>
      </w:r>
      <w:r w:rsidRPr="00E31550">
        <w:rPr>
          <w:rFonts w:ascii="Arial Narrow" w:hAnsi="Arial Narrow"/>
          <w:sz w:val="28"/>
          <w:szCs w:val="28"/>
        </w:rPr>
        <w:t>дит требования истца обоснованными и подлежащими удовлетворению в полном объеме</w:t>
      </w:r>
      <w:r w:rsidRPr="00E31550">
        <w:rPr>
          <w:rFonts w:ascii="Arial Narrow" w:hAnsi="Arial Narrow"/>
          <w:sz w:val="28"/>
          <w:szCs w:val="28"/>
        </w:rPr>
        <w:t xml:space="preserve"> и взыскивает с ответчика в пользу истца</w:t>
      </w:r>
      <w:r w:rsidRPr="00E31550">
        <w:rPr>
          <w:rFonts w:ascii="Arial Narrow" w:hAnsi="Arial Narrow"/>
          <w:sz w:val="28"/>
          <w:szCs w:val="28"/>
        </w:rPr>
        <w:t xml:space="preserve"> </w:t>
      </w:r>
      <w:r w:rsidRPr="00E31550">
        <w:rPr>
          <w:rFonts w:ascii="Arial Narrow" w:hAnsi="Arial Narrow"/>
          <w:sz w:val="28"/>
          <w:szCs w:val="28"/>
        </w:rPr>
        <w:t>задолженность по просроченному основному долгу в размере 77836 руб. 14 коп., срочные проценты на просроченный основной долг в размере 42</w:t>
      </w:r>
      <w:r w:rsidRPr="00E31550">
        <w:rPr>
          <w:rFonts w:ascii="Arial Narrow" w:hAnsi="Arial Narrow"/>
          <w:sz w:val="28"/>
          <w:szCs w:val="28"/>
        </w:rPr>
        <w:t>6 руб. 50 коп., просроченные проценты в размере 4862 руб. 09 коп.</w:t>
      </w:r>
    </w:p>
    <w:p w14:paraId="4CCB344A" w14:textId="77777777" w:rsidR="00CA6634" w:rsidRPr="00E31550" w:rsidRDefault="00DC78D9" w:rsidP="00E31550">
      <w:pPr>
        <w:shd w:val="clear" w:color="auto" w:fill="FFFFFF"/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lastRenderedPageBreak/>
        <w:t>В силу ч.1 ст.88 ГПК РФ судебные расходы состоят из государственной пошлины и издержек, связанных с рассмотрением дела.</w:t>
      </w:r>
    </w:p>
    <w:p w14:paraId="2AA1E941" w14:textId="77777777" w:rsidR="00CA6634" w:rsidRPr="00E31550" w:rsidRDefault="00DC78D9" w:rsidP="00E31550">
      <w:pPr>
        <w:shd w:val="clear" w:color="auto" w:fill="FFFFFF"/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Согласно ч.1 ст.98 ГПК РФ стороне, в пользу которой состоялось решение</w:t>
      </w:r>
      <w:r w:rsidRPr="00E31550">
        <w:rPr>
          <w:rFonts w:ascii="Arial Narrow" w:hAnsi="Arial Narrow"/>
          <w:sz w:val="28"/>
          <w:szCs w:val="28"/>
        </w:rPr>
        <w:t xml:space="preserve"> суда, суд присуждает возместить с другой стороны все понесенные по делу судебные расходы.</w:t>
      </w:r>
    </w:p>
    <w:p w14:paraId="207E2B72" w14:textId="77777777" w:rsidR="00CA6634" w:rsidRPr="00E31550" w:rsidRDefault="00DC78D9" w:rsidP="00E31550">
      <w:pPr>
        <w:shd w:val="clear" w:color="auto" w:fill="FFFFFF"/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Удовлетворяя исковые требования, суд взыскивает с ответчи</w:t>
      </w:r>
      <w:r w:rsidRPr="00E31550">
        <w:rPr>
          <w:rFonts w:ascii="Arial Narrow" w:hAnsi="Arial Narrow"/>
          <w:sz w:val="28"/>
          <w:szCs w:val="28"/>
        </w:rPr>
        <w:t>ка</w:t>
      </w:r>
      <w:r w:rsidRPr="00E31550">
        <w:rPr>
          <w:rFonts w:ascii="Arial Narrow" w:hAnsi="Arial Narrow"/>
          <w:sz w:val="28"/>
          <w:szCs w:val="28"/>
        </w:rPr>
        <w:t xml:space="preserve"> в пользу истца расходы по уплате государственной пош</w:t>
      </w:r>
      <w:r w:rsidRPr="00E31550">
        <w:rPr>
          <w:rFonts w:ascii="Arial Narrow" w:hAnsi="Arial Narrow"/>
          <w:sz w:val="28"/>
          <w:szCs w:val="28"/>
        </w:rPr>
        <w:t xml:space="preserve">лины при подаче иска в размере </w:t>
      </w:r>
      <w:r w:rsidRPr="00E31550">
        <w:rPr>
          <w:rFonts w:ascii="Arial Narrow" w:hAnsi="Arial Narrow"/>
          <w:sz w:val="28"/>
          <w:szCs w:val="28"/>
        </w:rPr>
        <w:t>2693 руб. 74</w:t>
      </w:r>
      <w:r w:rsidRPr="00E31550">
        <w:rPr>
          <w:rFonts w:ascii="Arial Narrow" w:hAnsi="Arial Narrow"/>
          <w:sz w:val="28"/>
          <w:szCs w:val="28"/>
        </w:rPr>
        <w:t xml:space="preserve"> коп.</w:t>
      </w:r>
    </w:p>
    <w:p w14:paraId="23557D2C" w14:textId="77777777" w:rsidR="00CA6634" w:rsidRPr="00E31550" w:rsidRDefault="00DC78D9" w:rsidP="00E31550">
      <w:pPr>
        <w:shd w:val="clear" w:color="auto" w:fill="FFFFFF"/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На о</w:t>
      </w:r>
      <w:r w:rsidRPr="00E31550">
        <w:rPr>
          <w:rFonts w:ascii="Arial Narrow" w:hAnsi="Arial Narrow"/>
          <w:sz w:val="28"/>
          <w:szCs w:val="28"/>
        </w:rPr>
        <w:t>сновании изложенного, и руководствуясь ст.ст.167,193-199 ГПК РФ, суд</w:t>
      </w:r>
    </w:p>
    <w:p w14:paraId="21AFC2C6" w14:textId="77777777" w:rsidR="00CA6634" w:rsidRPr="00E31550" w:rsidRDefault="00DC78D9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E31550">
        <w:rPr>
          <w:rFonts w:ascii="Arial Narrow" w:hAnsi="Arial Narrow"/>
          <w:b/>
          <w:bCs/>
          <w:sz w:val="28"/>
          <w:szCs w:val="28"/>
        </w:rPr>
        <w:t>Р Е Ш И Л :</w:t>
      </w:r>
    </w:p>
    <w:p w14:paraId="6ECFEBD6" w14:textId="77777777" w:rsidR="00CA6634" w:rsidRPr="00E31550" w:rsidRDefault="00DC78D9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 xml:space="preserve">Исковые требования </w:t>
      </w:r>
      <w:r w:rsidRPr="00E31550">
        <w:rPr>
          <w:rFonts w:ascii="Arial Narrow" w:hAnsi="Arial Narrow"/>
          <w:sz w:val="28"/>
          <w:szCs w:val="28"/>
        </w:rPr>
        <w:t>Открытого акционерного общества «Сбербанк России» в лице филиала – Московского банка ОАО «Сбербанк России» к Непомнящему А</w:t>
      </w:r>
      <w:r>
        <w:rPr>
          <w:rFonts w:ascii="Arial Narrow" w:hAnsi="Arial Narrow"/>
          <w:sz w:val="28"/>
          <w:szCs w:val="28"/>
        </w:rPr>
        <w:t>.</w:t>
      </w:r>
      <w:r w:rsidRPr="00E31550">
        <w:rPr>
          <w:rFonts w:ascii="Arial Narrow" w:hAnsi="Arial Narrow"/>
          <w:sz w:val="28"/>
          <w:szCs w:val="28"/>
        </w:rPr>
        <w:t xml:space="preserve"> Ю</w:t>
      </w:r>
      <w:r>
        <w:rPr>
          <w:rFonts w:ascii="Arial Narrow" w:hAnsi="Arial Narrow"/>
          <w:sz w:val="28"/>
          <w:szCs w:val="28"/>
        </w:rPr>
        <w:t>.</w:t>
      </w:r>
      <w:r w:rsidRPr="00E31550">
        <w:rPr>
          <w:rFonts w:ascii="Arial Narrow" w:hAnsi="Arial Narrow"/>
          <w:sz w:val="28"/>
          <w:szCs w:val="28"/>
        </w:rPr>
        <w:t xml:space="preserve"> о взыскании ссудной задолженн</w:t>
      </w:r>
      <w:r w:rsidRPr="00E31550">
        <w:rPr>
          <w:rFonts w:ascii="Arial Narrow" w:hAnsi="Arial Narrow"/>
          <w:sz w:val="28"/>
          <w:szCs w:val="28"/>
        </w:rPr>
        <w:t>ости по банковской карте</w:t>
      </w:r>
      <w:r w:rsidRPr="00E31550">
        <w:rPr>
          <w:rFonts w:ascii="Arial Narrow" w:hAnsi="Arial Narrow"/>
          <w:sz w:val="28"/>
          <w:szCs w:val="28"/>
        </w:rPr>
        <w:t xml:space="preserve"> - удовлетворить.</w:t>
      </w:r>
    </w:p>
    <w:p w14:paraId="39975CA4" w14:textId="77777777" w:rsidR="000B5C90" w:rsidRPr="00E31550" w:rsidRDefault="00DC78D9" w:rsidP="0031529C">
      <w:pPr>
        <w:shd w:val="clear" w:color="auto" w:fill="FFFFFF"/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Взыскать с</w:t>
      </w:r>
      <w:r w:rsidRPr="00E31550">
        <w:rPr>
          <w:rFonts w:ascii="Arial Narrow" w:hAnsi="Arial Narrow"/>
          <w:sz w:val="28"/>
          <w:szCs w:val="28"/>
        </w:rPr>
        <w:t xml:space="preserve"> </w:t>
      </w:r>
      <w:r w:rsidRPr="00E31550">
        <w:rPr>
          <w:rFonts w:ascii="Arial Narrow" w:hAnsi="Arial Narrow"/>
          <w:sz w:val="28"/>
          <w:szCs w:val="28"/>
        </w:rPr>
        <w:t>Непомнящего А</w:t>
      </w:r>
      <w:r>
        <w:rPr>
          <w:rFonts w:ascii="Arial Narrow" w:hAnsi="Arial Narrow"/>
          <w:sz w:val="28"/>
          <w:szCs w:val="28"/>
        </w:rPr>
        <w:t>.</w:t>
      </w:r>
      <w:r w:rsidRPr="00E31550">
        <w:rPr>
          <w:rFonts w:ascii="Arial Narrow" w:hAnsi="Arial Narrow"/>
          <w:sz w:val="28"/>
          <w:szCs w:val="28"/>
        </w:rPr>
        <w:t xml:space="preserve"> Ю</w:t>
      </w:r>
      <w:r>
        <w:rPr>
          <w:rFonts w:ascii="Arial Narrow" w:hAnsi="Arial Narrow"/>
          <w:sz w:val="28"/>
          <w:szCs w:val="28"/>
        </w:rPr>
        <w:t>.</w:t>
      </w:r>
      <w:r w:rsidRPr="00E31550">
        <w:rPr>
          <w:rFonts w:ascii="Arial Narrow" w:hAnsi="Arial Narrow"/>
          <w:sz w:val="28"/>
          <w:szCs w:val="28"/>
        </w:rPr>
        <w:t xml:space="preserve"> </w:t>
      </w:r>
      <w:r w:rsidRPr="00E31550">
        <w:rPr>
          <w:rFonts w:ascii="Arial Narrow" w:hAnsi="Arial Narrow"/>
          <w:sz w:val="28"/>
          <w:szCs w:val="28"/>
        </w:rPr>
        <w:t xml:space="preserve">в пользу Открытого акционерного общества «Сбербанк России» в лице филиала – Московского банка ОАО «Сбербанк России» задолженность </w:t>
      </w:r>
      <w:r w:rsidRPr="00E31550">
        <w:rPr>
          <w:rFonts w:ascii="Arial Narrow" w:hAnsi="Arial Narrow"/>
          <w:sz w:val="28"/>
          <w:szCs w:val="28"/>
        </w:rPr>
        <w:t>по просроченному основному долгу в размере 77836 руб. 1</w:t>
      </w:r>
      <w:r w:rsidRPr="00E31550">
        <w:rPr>
          <w:rFonts w:ascii="Arial Narrow" w:hAnsi="Arial Narrow"/>
          <w:sz w:val="28"/>
          <w:szCs w:val="28"/>
        </w:rPr>
        <w:t>4 коп., срочные проценты на просроченный основной долг в размере 426 руб. 50 коп., просроченные проценты в размере 4862 руб. 09 коп.</w:t>
      </w:r>
      <w:r w:rsidRPr="00E31550">
        <w:rPr>
          <w:rFonts w:ascii="Arial Narrow" w:hAnsi="Arial Narrow"/>
          <w:sz w:val="28"/>
          <w:szCs w:val="28"/>
        </w:rPr>
        <w:t>, расходы по уплате государственной пошлины при подаче иска в размере 2693 руб. 74 коп.</w:t>
      </w:r>
    </w:p>
    <w:p w14:paraId="7EC9C8A1" w14:textId="77777777" w:rsidR="00CA6634" w:rsidRPr="00E31550" w:rsidRDefault="00DC78D9">
      <w:pPr>
        <w:ind w:firstLine="720"/>
        <w:jc w:val="both"/>
        <w:rPr>
          <w:rFonts w:ascii="Arial Narrow" w:hAnsi="Arial Narrow"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Решение может быть обжаловано в Моск</w:t>
      </w:r>
      <w:r w:rsidRPr="00E31550">
        <w:rPr>
          <w:rFonts w:ascii="Arial Narrow" w:hAnsi="Arial Narrow"/>
          <w:sz w:val="28"/>
          <w:szCs w:val="28"/>
        </w:rPr>
        <w:t>овский городской суд через Тушинский районный суд г. Москвы в течение месяца.</w:t>
      </w:r>
    </w:p>
    <w:p w14:paraId="1E22CC84" w14:textId="77777777" w:rsidR="00CA6634" w:rsidRPr="00E31550" w:rsidRDefault="00DC78D9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380C9987" w14:textId="77777777" w:rsidR="00CA6634" w:rsidRPr="00E31550" w:rsidRDefault="00DC78D9" w:rsidP="00C50106">
      <w:pPr>
        <w:ind w:firstLine="708"/>
        <w:jc w:val="both"/>
        <w:rPr>
          <w:rFonts w:ascii="Arial Narrow" w:hAnsi="Arial Narrow"/>
          <w:b/>
          <w:sz w:val="28"/>
          <w:szCs w:val="28"/>
        </w:rPr>
      </w:pPr>
      <w:r w:rsidRPr="00E31550">
        <w:rPr>
          <w:rFonts w:ascii="Arial Narrow" w:hAnsi="Arial Narrow"/>
          <w:sz w:val="28"/>
          <w:szCs w:val="28"/>
        </w:rPr>
        <w:t>Федеральный судья</w:t>
      </w:r>
      <w:r w:rsidRPr="00E31550">
        <w:rPr>
          <w:rFonts w:ascii="Arial Narrow" w:hAnsi="Arial Narrow"/>
          <w:sz w:val="28"/>
          <w:szCs w:val="28"/>
        </w:rPr>
        <w:t>:</w:t>
      </w:r>
    </w:p>
    <w:p w14:paraId="566AA503" w14:textId="77777777" w:rsidR="00CA6634" w:rsidRDefault="00DC78D9">
      <w:pPr>
        <w:sectPr w:rsidR="00CA6634" w:rsidSect="00E31550">
          <w:pgSz w:w="11906" w:h="16838"/>
          <w:pgMar w:top="964" w:right="964" w:bottom="964" w:left="1814" w:header="720" w:footer="720" w:gutter="0"/>
          <w:cols w:space="720"/>
          <w:docGrid w:linePitch="360"/>
        </w:sectPr>
      </w:pPr>
    </w:p>
    <w:p w14:paraId="54493D2E" w14:textId="77777777" w:rsidR="00B74E9F" w:rsidRDefault="00DC78D9" w:rsidP="00F37EB2">
      <w:pPr>
        <w:rPr>
          <w:rFonts w:ascii="Book Antiqua" w:hAnsi="Book Antiqua"/>
          <w:i/>
          <w:u w:val="single"/>
        </w:rPr>
      </w:pPr>
      <w:r>
        <w:rPr>
          <w:rFonts w:ascii="Book Antiqua" w:hAnsi="Book Antiqua"/>
          <w:i/>
          <w:u w:val="single"/>
        </w:rPr>
        <w:t xml:space="preserve"> </w:t>
      </w:r>
    </w:p>
    <w:sectPr w:rsidR="00B74E9F" w:rsidSect="00740710">
      <w:pgSz w:w="11906" w:h="16838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073111E"/>
    <w:multiLevelType w:val="multilevel"/>
    <w:tmpl w:val="A9DAC1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2">
      <w:start w:val="2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4022"/>
    <w:rsid w:val="00D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21E0BFD6"/>
  <w15:chartTrackingRefBased/>
  <w15:docId w15:val="{D92E0B24-9D8A-433B-BCBF-49CCF2D7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link w:val="10"/>
    <w:uiPriority w:val="9"/>
    <w:qFormat/>
    <w:rsid w:val="009F4D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1"/>
      </w:numPr>
      <w:overflowPunct w:val="0"/>
      <w:autoSpaceDE w:val="0"/>
      <w:jc w:val="center"/>
      <w:textAlignment w:val="baseline"/>
      <w:outlineLvl w:val="1"/>
    </w:pPr>
    <w:rPr>
      <w:b/>
      <w:sz w:val="28"/>
      <w:szCs w:val="20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1">
    <w:name w:val="Основной шрифт абзаца1"/>
  </w:style>
  <w:style w:type="character" w:customStyle="1" w:styleId="BodyText2">
    <w:name w:val="Body Text 2 Знак Знак"/>
    <w:rPr>
      <w:sz w:val="22"/>
      <w:szCs w:val="24"/>
      <w:lang w:val="ru-RU" w:eastAsia="ar-SA" w:bidi="ar-SA"/>
    </w:rPr>
  </w:style>
  <w:style w:type="character" w:customStyle="1" w:styleId="a3">
    <w:name w:val="Символ нумерации"/>
  </w:style>
  <w:style w:type="paragraph" w:customStyle="1" w:styleId="12">
    <w:name w:val="Заголовок1"/>
    <w:basedOn w:val="a"/>
    <w:next w:val="a4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4">
    <w:name w:val="Body Text"/>
    <w:basedOn w:val="a"/>
    <w:pPr>
      <w:jc w:val="both"/>
    </w:pPr>
    <w:rPr>
      <w:sz w:val="20"/>
    </w:rPr>
  </w:style>
  <w:style w:type="paragraph" w:styleId="a5">
    <w:name w:val="List"/>
    <w:basedOn w:val="a4"/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customStyle="1" w:styleId="21">
    <w:name w:val="Основной текст 21"/>
    <w:basedOn w:val="a"/>
    <w:pPr>
      <w:overflowPunct w:val="0"/>
      <w:autoSpaceDE w:val="0"/>
      <w:jc w:val="both"/>
    </w:pPr>
    <w:rPr>
      <w:sz w:val="22"/>
      <w:szCs w:val="20"/>
    </w:rPr>
  </w:style>
  <w:style w:type="paragraph" w:customStyle="1" w:styleId="31">
    <w:name w:val="Основной текст с отступом 31"/>
    <w:basedOn w:val="a"/>
    <w:pPr>
      <w:ind w:firstLine="708"/>
      <w:jc w:val="both"/>
    </w:pPr>
    <w:rPr>
      <w:szCs w:val="13"/>
    </w:rPr>
  </w:style>
  <w:style w:type="paragraph" w:customStyle="1" w:styleId="BodyText20">
    <w:name w:val="Body Text 2"/>
    <w:basedOn w:val="a"/>
    <w:pPr>
      <w:widowControl w:val="0"/>
      <w:overflowPunct w:val="0"/>
      <w:autoSpaceDE w:val="0"/>
      <w:ind w:right="-62"/>
      <w:jc w:val="both"/>
    </w:pPr>
  </w:style>
  <w:style w:type="paragraph" w:customStyle="1" w:styleId="BodyText21">
    <w:name w:val="Body Text 2 Знак"/>
    <w:basedOn w:val="a"/>
    <w:pPr>
      <w:overflowPunct w:val="0"/>
      <w:autoSpaceDE w:val="0"/>
      <w:ind w:firstLine="720"/>
      <w:jc w:val="both"/>
      <w:textAlignment w:val="baseline"/>
    </w:pPr>
    <w:rPr>
      <w:sz w:val="22"/>
    </w:rPr>
  </w:style>
  <w:style w:type="paragraph" w:customStyle="1" w:styleId="310">
    <w:name w:val="Основной текст 31"/>
    <w:basedOn w:val="a"/>
    <w:pPr>
      <w:spacing w:after="120"/>
    </w:pPr>
    <w:rPr>
      <w:sz w:val="16"/>
      <w:szCs w:val="16"/>
    </w:rPr>
  </w:style>
  <w:style w:type="character" w:customStyle="1" w:styleId="FontStyle11">
    <w:name w:val="Font Style11"/>
    <w:uiPriority w:val="99"/>
    <w:rsid w:val="00A34022"/>
    <w:rPr>
      <w:rFonts w:ascii="Times New Roman" w:hAnsi="Times New Roman" w:cs="Times New Roman"/>
      <w:sz w:val="20"/>
      <w:szCs w:val="20"/>
    </w:rPr>
  </w:style>
  <w:style w:type="character" w:customStyle="1" w:styleId="a6">
    <w:name w:val="Основной текст_"/>
    <w:link w:val="17"/>
    <w:rsid w:val="00854F42"/>
    <w:rPr>
      <w:sz w:val="22"/>
      <w:szCs w:val="22"/>
      <w:shd w:val="clear" w:color="auto" w:fill="FFFFFF"/>
    </w:rPr>
  </w:style>
  <w:style w:type="paragraph" w:customStyle="1" w:styleId="17">
    <w:name w:val="Основной текст17"/>
    <w:basedOn w:val="a"/>
    <w:link w:val="a6"/>
    <w:rsid w:val="00854F42"/>
    <w:pPr>
      <w:shd w:val="clear" w:color="auto" w:fill="FFFFFF"/>
      <w:suppressAutoHyphens w:val="0"/>
      <w:spacing w:line="235" w:lineRule="exact"/>
      <w:ind w:hanging="2680"/>
    </w:pPr>
    <w:rPr>
      <w:sz w:val="22"/>
      <w:szCs w:val="22"/>
      <w:lang w:val="x-none" w:eastAsia="x-none"/>
    </w:rPr>
  </w:style>
  <w:style w:type="character" w:customStyle="1" w:styleId="10">
    <w:name w:val="Заголовок 1 Знак"/>
    <w:link w:val="1"/>
    <w:uiPriority w:val="9"/>
    <w:rsid w:val="009F4D65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a7">
    <w:name w:val="Body Text Indent"/>
    <w:basedOn w:val="a"/>
    <w:link w:val="a8"/>
    <w:uiPriority w:val="99"/>
    <w:semiHidden/>
    <w:unhideWhenUsed/>
    <w:rsid w:val="009F4D65"/>
    <w:pPr>
      <w:spacing w:after="120"/>
      <w:ind w:left="283"/>
    </w:pPr>
    <w:rPr>
      <w:lang w:val="x-none"/>
    </w:rPr>
  </w:style>
  <w:style w:type="character" w:customStyle="1" w:styleId="a8">
    <w:name w:val="Основной текст с отступом Знак"/>
    <w:link w:val="a7"/>
    <w:uiPriority w:val="99"/>
    <w:semiHidden/>
    <w:rsid w:val="009F4D65"/>
    <w:rPr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740710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740710"/>
    <w:rPr>
      <w:rFonts w:ascii="Tahoma" w:hAnsi="Tahoma" w:cs="Tahoma"/>
      <w:sz w:val="16"/>
      <w:szCs w:val="16"/>
      <w:lang w:eastAsia="ar-SA"/>
    </w:rPr>
  </w:style>
  <w:style w:type="paragraph" w:styleId="3">
    <w:name w:val="Body Text 3"/>
    <w:basedOn w:val="a"/>
    <w:link w:val="30"/>
    <w:semiHidden/>
    <w:unhideWhenUsed/>
    <w:rsid w:val="00564613"/>
    <w:pPr>
      <w:suppressAutoHyphens w:val="0"/>
      <w:spacing w:after="120"/>
    </w:pPr>
    <w:rPr>
      <w:sz w:val="16"/>
      <w:szCs w:val="16"/>
      <w:lang w:eastAsia="ru-RU"/>
    </w:rPr>
  </w:style>
  <w:style w:type="character" w:customStyle="1" w:styleId="30">
    <w:name w:val="Основной текст 3 Знак"/>
    <w:link w:val="3"/>
    <w:semiHidden/>
    <w:rsid w:val="0056461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2422</Words>
  <Characters>13807</Characters>
  <Application>Microsoft Office Word</Application>
  <DocSecurity>0</DocSecurity>
  <Lines>115</Lines>
  <Paragraphs>32</Paragraphs>
  <ScaleCrop>false</ScaleCrop>
  <Company/>
  <LinksUpToDate>false</LinksUpToDate>
  <CharactersWithSpaces>16197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