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</w:pPr>
    </w:p>
    <w:p>
      <w:pPr>
        <w:spacing w:before="0" w:after="0"/>
        <w:jc w:val="right"/>
      </w:pP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77RS0028-02-2022-</w:t>
      </w:r>
      <w:r>
        <w:rPr>
          <w:rFonts w:ascii="Times New Roman" w:eastAsia="Times New Roman" w:hAnsi="Times New Roman" w:cs="Times New Roman"/>
          <w:highlight w:val="none"/>
        </w:rPr>
        <w:t>001352-52</w:t>
      </w:r>
    </w:p>
    <w:p>
      <w:pPr>
        <w:spacing w:before="0" w:after="0"/>
        <w:jc w:val="right"/>
      </w:pP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Дело № 2-</w:t>
      </w:r>
      <w:r>
        <w:rPr>
          <w:rFonts w:ascii="Times New Roman" w:eastAsia="Times New Roman" w:hAnsi="Times New Roman" w:cs="Times New Roman"/>
          <w:highlight w:val="none"/>
        </w:rPr>
        <w:t>13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/2022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11» августа</w:t>
      </w:r>
      <w:r>
        <w:rPr>
          <w:rFonts w:ascii="Times New Roman" w:eastAsia="Times New Roman" w:hAnsi="Times New Roman" w:cs="Times New Roman"/>
          <w:highlight w:val="none"/>
        </w:rPr>
        <w:t xml:space="preserve"> 2022 года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 Тимирязевского районного суда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Макляк</w:t>
      </w:r>
      <w:r>
        <w:rPr>
          <w:rFonts w:ascii="Times New Roman" w:eastAsia="Times New Roman" w:hAnsi="Times New Roman" w:cs="Times New Roman"/>
          <w:highlight w:val="none"/>
        </w:rPr>
        <w:t xml:space="preserve"> М.А., при секретаре </w:t>
      </w:r>
      <w:r>
        <w:rPr>
          <w:rFonts w:ascii="Times New Roman" w:eastAsia="Times New Roman" w:hAnsi="Times New Roman" w:cs="Times New Roman"/>
          <w:highlight w:val="none"/>
        </w:rPr>
        <w:t>Бочаровой</w:t>
      </w:r>
      <w:r>
        <w:rPr>
          <w:rFonts w:ascii="Times New Roman" w:eastAsia="Times New Roman" w:hAnsi="Times New Roman" w:cs="Times New Roman"/>
          <w:highlight w:val="none"/>
        </w:rPr>
        <w:t xml:space="preserve"> Д.А., рассмотрев в открытом судебном заседании гражданское дело №2-</w:t>
      </w:r>
      <w:r>
        <w:rPr>
          <w:rFonts w:ascii="Times New Roman" w:eastAsia="Times New Roman" w:hAnsi="Times New Roman" w:cs="Times New Roman"/>
          <w:highlight w:val="none"/>
        </w:rPr>
        <w:t>135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/2022 по </w:t>
      </w:r>
      <w:r>
        <w:rPr>
          <w:rFonts w:ascii="Times New Roman" w:eastAsia="Times New Roman" w:hAnsi="Times New Roman" w:cs="Times New Roman"/>
          <w:highlight w:val="none"/>
        </w:rPr>
        <w:t xml:space="preserve">иску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взыскании задолже</w:t>
      </w:r>
      <w:r>
        <w:rPr>
          <w:rFonts w:ascii="Times New Roman" w:eastAsia="Times New Roman" w:hAnsi="Times New Roman" w:cs="Times New Roman"/>
          <w:highlight w:val="none"/>
        </w:rPr>
        <w:t>нности, руководствуясь ст.ст.194-198 ГПК РФ,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РЕШИЛ;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ПАО Сбербанк в лице филиала – Московский банк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>эмиссионному контракту №09</w:t>
      </w:r>
      <w:r>
        <w:rPr>
          <w:rFonts w:ascii="Times New Roman" w:eastAsia="Times New Roman" w:hAnsi="Times New Roman" w:cs="Times New Roman"/>
          <w:highlight w:val="none"/>
        </w:rPr>
        <w:t>10-Р-8119109630 в размере 28450 руб. 17 коп</w:t>
      </w:r>
      <w:r>
        <w:rPr>
          <w:rFonts w:ascii="Times New Roman" w:eastAsia="Times New Roman" w:hAnsi="Times New Roman" w:cs="Times New Roman"/>
          <w:highlight w:val="none"/>
        </w:rPr>
        <w:t xml:space="preserve">.,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</w:t>
      </w:r>
      <w:r>
        <w:rPr>
          <w:rFonts w:ascii="Times New Roman" w:eastAsia="Times New Roman" w:hAnsi="Times New Roman" w:cs="Times New Roman"/>
          <w:highlight w:val="none"/>
        </w:rPr>
        <w:t>в размере 1053 руб. 51 коп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0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М.А.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Макляк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center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77RS0028-02-2022-</w:t>
      </w:r>
      <w:r>
        <w:rPr>
          <w:rFonts w:ascii="Times New Roman" w:eastAsia="Times New Roman" w:hAnsi="Times New Roman" w:cs="Times New Roman"/>
          <w:highlight w:val="none"/>
        </w:rPr>
        <w:t>001352-52</w:t>
      </w:r>
    </w:p>
    <w:p>
      <w:pPr>
        <w:spacing w:before="0" w:after="0"/>
        <w:jc w:val="right"/>
      </w:pPr>
    </w:p>
    <w:p>
      <w:pPr>
        <w:spacing w:before="0" w:after="0"/>
        <w:jc w:val="right"/>
      </w:pPr>
      <w:r>
        <w:rPr>
          <w:rFonts w:ascii="Times New Roman" w:eastAsia="Times New Roman" w:hAnsi="Times New Roman" w:cs="Times New Roman"/>
          <w:highlight w:val="none"/>
        </w:rPr>
        <w:t>Дело № 2-</w:t>
      </w:r>
      <w:r>
        <w:rPr>
          <w:rFonts w:ascii="Times New Roman" w:eastAsia="Times New Roman" w:hAnsi="Times New Roman" w:cs="Times New Roman"/>
          <w:highlight w:val="none"/>
        </w:rPr>
        <w:t>1352</w:t>
      </w:r>
      <w:r>
        <w:rPr>
          <w:rFonts w:ascii="Times New Roman" w:eastAsia="Times New Roman" w:hAnsi="Times New Roman" w:cs="Times New Roman"/>
          <w:highlight w:val="none"/>
        </w:rPr>
        <w:t>/2022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11» августа</w:t>
      </w:r>
      <w:r>
        <w:rPr>
          <w:rFonts w:ascii="Times New Roman" w:eastAsia="Times New Roman" w:hAnsi="Times New Roman" w:cs="Times New Roman"/>
          <w:highlight w:val="none"/>
        </w:rPr>
        <w:t xml:space="preserve"> 2022 года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</w:t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 Тимирязевского районного суда </w:t>
      </w:r>
      <w:r>
        <w:rPr>
          <w:rStyle w:val="cat-Addressgrp-0rplc-1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Макляк</w:t>
      </w:r>
      <w:r>
        <w:rPr>
          <w:rFonts w:ascii="Times New Roman" w:eastAsia="Times New Roman" w:hAnsi="Times New Roman" w:cs="Times New Roman"/>
          <w:highlight w:val="none"/>
        </w:rPr>
        <w:t xml:space="preserve"> М.А., при секретаре </w:t>
      </w:r>
      <w:r>
        <w:rPr>
          <w:rFonts w:ascii="Times New Roman" w:eastAsia="Times New Roman" w:hAnsi="Times New Roman" w:cs="Times New Roman"/>
          <w:highlight w:val="none"/>
        </w:rPr>
        <w:t>Бочаровой</w:t>
      </w:r>
      <w:r>
        <w:rPr>
          <w:rFonts w:ascii="Times New Roman" w:eastAsia="Times New Roman" w:hAnsi="Times New Roman" w:cs="Times New Roman"/>
          <w:highlight w:val="none"/>
        </w:rPr>
        <w:t xml:space="preserve"> Д.А., рассмотрев в открытом судебном заседании гражданское дело №2-</w:t>
      </w:r>
      <w:r>
        <w:rPr>
          <w:rFonts w:ascii="Times New Roman" w:eastAsia="Times New Roman" w:hAnsi="Times New Roman" w:cs="Times New Roman"/>
          <w:highlight w:val="none"/>
        </w:rPr>
        <w:t>1352</w:t>
      </w:r>
      <w:r>
        <w:rPr>
          <w:rFonts w:ascii="Times New Roman" w:eastAsia="Times New Roman" w:hAnsi="Times New Roman" w:cs="Times New Roman"/>
          <w:highlight w:val="none"/>
        </w:rPr>
        <w:t xml:space="preserve">/2022 по </w:t>
      </w:r>
      <w:r>
        <w:rPr>
          <w:rFonts w:ascii="Times New Roman" w:eastAsia="Times New Roman" w:hAnsi="Times New Roman" w:cs="Times New Roman"/>
          <w:highlight w:val="none"/>
        </w:rPr>
        <w:t xml:space="preserve">иску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взыскании задолженности, </w:t>
      </w:r>
    </w:p>
    <w:p>
      <w:pPr>
        <w:spacing w:before="0" w:after="0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обратилс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в суд с иском</w:t>
      </w:r>
      <w:r>
        <w:rPr>
          <w:rFonts w:ascii="Times New Roman" w:eastAsia="Times New Roman" w:hAnsi="Times New Roman" w:cs="Times New Roman"/>
          <w:highlight w:val="none"/>
        </w:rPr>
        <w:t xml:space="preserve"> к ответчику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 просит суд </w:t>
      </w:r>
      <w:r>
        <w:rPr>
          <w:rFonts w:ascii="Times New Roman" w:eastAsia="Times New Roman" w:hAnsi="Times New Roman" w:cs="Times New Roman"/>
          <w:highlight w:val="none"/>
        </w:rPr>
        <w:t>взыскать из стоимости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наследственного имущества Акопян М.А. в пользу ПАО «Сбербанк России» задолженность по эмиссионному контракту №0910-Р-8119109630 в размере 28450,17 руб.,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</w:t>
      </w:r>
      <w:r>
        <w:rPr>
          <w:rFonts w:ascii="Times New Roman" w:eastAsia="Times New Roman" w:hAnsi="Times New Roman" w:cs="Times New Roman"/>
          <w:highlight w:val="none"/>
        </w:rPr>
        <w:t>1053,51 руб.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мотивированы тем, что 23.07.2017 между ПАО «Сбербанк» и Акопян М.А.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</w:t>
      </w:r>
      <w:r>
        <w:rPr>
          <w:rFonts w:ascii="Times New Roman" w:eastAsia="Times New Roman" w:hAnsi="Times New Roman" w:cs="Times New Roman"/>
          <w:highlight w:val="none"/>
        </w:rPr>
        <w:t xml:space="preserve">эмиссионный контракт №0910-Р-8119109630. </w:t>
      </w:r>
      <w:r>
        <w:rPr>
          <w:rFonts w:ascii="Times New Roman" w:eastAsia="Times New Roman" w:hAnsi="Times New Roman" w:cs="Times New Roman"/>
          <w:highlight w:val="none"/>
        </w:rPr>
        <w:t xml:space="preserve">Акопян М.А. не выполняла обязательств по погашению </w:t>
      </w:r>
      <w:r>
        <w:rPr>
          <w:rFonts w:ascii="Times New Roman" w:eastAsia="Times New Roman" w:hAnsi="Times New Roman" w:cs="Times New Roman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по кредитной карте ввиду чего по состоянию на 11.10.2021 образовалась задолженность в размере 28450,17 руб. из </w:t>
      </w:r>
      <w:r>
        <w:rPr>
          <w:rFonts w:ascii="Times New Roman" w:eastAsia="Times New Roman" w:hAnsi="Times New Roman" w:cs="Times New Roman"/>
          <w:highlight w:val="none"/>
        </w:rPr>
        <w:t>которых</w:t>
      </w:r>
      <w:r>
        <w:rPr>
          <w:rFonts w:ascii="Times New Roman" w:eastAsia="Times New Roman" w:hAnsi="Times New Roman" w:cs="Times New Roman"/>
          <w:highlight w:val="none"/>
        </w:rPr>
        <w:t>: задолженность по основному долгу в размере 20528,80 руб., задолженность по процентам в размере 7921,37 руб. Акопян М.А. умерла 01.11.2018.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явился, извещался судом надлежащим образом о времени и месте рассмотрения дела, ходатайствовал о рассмотрении дела в от</w:t>
      </w:r>
      <w:r>
        <w:rPr>
          <w:rFonts w:ascii="Times New Roman" w:eastAsia="Times New Roman" w:hAnsi="Times New Roman" w:cs="Times New Roman"/>
          <w:highlight w:val="none"/>
        </w:rPr>
        <w:t xml:space="preserve">сутствие представителя истца.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 А.О.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>, о времени и месте судебного заседания извещал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Третье лицо нотариус Кулаков В.Б.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не явился, о времени и месте судебного заседания извещался надлежащим образом.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Третье лицо </w:t>
      </w:r>
      <w:r>
        <w:rPr>
          <w:rFonts w:ascii="Times New Roman" w:eastAsia="Times New Roman" w:hAnsi="Times New Roman" w:cs="Times New Roman"/>
          <w:highlight w:val="none"/>
        </w:rPr>
        <w:t xml:space="preserve">Территориальное Управление </w:t>
      </w:r>
      <w:r>
        <w:rPr>
          <w:rFonts w:ascii="Times New Roman" w:eastAsia="Times New Roman" w:hAnsi="Times New Roman" w:cs="Times New Roman"/>
          <w:highlight w:val="none"/>
        </w:rPr>
        <w:t>Росимущества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Addressgrp-0rplc-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не явился, о времени и месте судебного заседания извещался надлежащим образом.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Суд, руководствуясь ст. 167 ГПК во взаимосвязи со ст. 165.1 ГК РФ счел возможным рассмотреть дело при данной явке.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письменные материалы дела, приходит к выводу, что исковые требования истца подлежат удовлетворению по следующим основаниям: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ч. 1 ст. 1110 ГК РФ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1175 ГК РФ наследники, принявшие наследство, отвечают по долгам наследодателя солидарно (статья 323).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 </w:t>
      </w:r>
      <w:r>
        <w:rPr>
          <w:rFonts w:ascii="Times New Roman" w:eastAsia="Times New Roman" w:hAnsi="Times New Roman" w:cs="Times New Roman"/>
          <w:highlight w:val="none"/>
        </w:rPr>
        <w:t>исковой давности, установленных для соответствующих требований. До принятия наследства требования кредиторов могут быть предъявлены к наследственному имуществу, в целях сохранения которого к участию в деле привлекается исполнитель завещания или нотариус. 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установлено, что 23.07.2017 между ПАО «Сбербанк» и Акопян М.А.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эмиссионный контракт №0910-Р-8119109630</w:t>
      </w:r>
      <w:r>
        <w:rPr>
          <w:rFonts w:ascii="Times New Roman" w:eastAsia="Times New Roman" w:hAnsi="Times New Roman" w:cs="Times New Roman"/>
          <w:highlight w:val="none"/>
        </w:rPr>
        <w:t xml:space="preserve">, согласно которому истец предоставил Акопян М.А. </w:t>
      </w:r>
      <w:r>
        <w:rPr>
          <w:rFonts w:ascii="Times New Roman" w:eastAsia="Times New Roman" w:hAnsi="Times New Roman" w:cs="Times New Roman"/>
          <w:highlight w:val="none"/>
        </w:rPr>
        <w:t xml:space="preserve">кредитную карту с лимитом кредита 41000 руб., а Акопян М.А. согласилась с условиями предоставления и возврата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свои обязательства по договору выполнил в полном объеме, предоставив </w:t>
      </w:r>
      <w:r>
        <w:rPr>
          <w:rFonts w:ascii="Times New Roman" w:eastAsia="Times New Roman" w:hAnsi="Times New Roman" w:cs="Times New Roman"/>
          <w:highlight w:val="none"/>
        </w:rPr>
        <w:t>Акопян М.А.</w:t>
      </w:r>
      <w:r>
        <w:rPr>
          <w:rFonts w:ascii="Times New Roman" w:eastAsia="Times New Roman" w:hAnsi="Times New Roman" w:cs="Times New Roman"/>
          <w:highlight w:val="none"/>
        </w:rPr>
        <w:t xml:space="preserve"> кредит.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индивидуальными условиями </w:t>
      </w:r>
      <w:r>
        <w:rPr>
          <w:rFonts w:ascii="Times New Roman" w:eastAsia="Times New Roman" w:hAnsi="Times New Roman" w:cs="Times New Roman"/>
          <w:highlight w:val="none"/>
        </w:rPr>
        <w:t>и обслуживания кредитной карты, на сумму основного долга начисляются проценты за пользование кредитом в соответствии с правилами</w:t>
      </w:r>
      <w:r>
        <w:rPr>
          <w:rFonts w:ascii="Times New Roman" w:eastAsia="Times New Roman" w:hAnsi="Times New Roman" w:cs="Times New Roman"/>
          <w:highlight w:val="none"/>
        </w:rPr>
        <w:t>, определенными в общих условиях по ставке 25,9% годовых (п.4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индивидуальны</w:t>
      </w:r>
      <w:r>
        <w:rPr>
          <w:rFonts w:ascii="Times New Roman" w:eastAsia="Times New Roman" w:hAnsi="Times New Roman" w:cs="Times New Roman"/>
          <w:highlight w:val="none"/>
        </w:rPr>
        <w:t xml:space="preserve">х </w:t>
      </w:r>
      <w:r>
        <w:rPr>
          <w:rFonts w:ascii="Times New Roman" w:eastAsia="Times New Roman" w:hAnsi="Times New Roman" w:cs="Times New Roman"/>
          <w:highlight w:val="none"/>
        </w:rPr>
        <w:t>услови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 обслуживания кредитной карты).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Пунктом 6 предусмотрено, что клиент осуществляет частичное погашение кредита в соответствии с информацией, указанной в отчете. Расчет суммы обязательного платежа и суммы общей задолженности осуществляется в соответствии с общими условиями.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З</w:t>
      </w:r>
      <w:r>
        <w:rPr>
          <w:rFonts w:ascii="Times New Roman" w:eastAsia="Times New Roman" w:hAnsi="Times New Roman" w:cs="Times New Roman"/>
          <w:highlight w:val="none"/>
        </w:rPr>
        <w:t xml:space="preserve">а несвоевременное погашение обязательного платежа взымается неустойка в размере 36% </w:t>
      </w:r>
      <w:r>
        <w:rPr>
          <w:rFonts w:ascii="Times New Roman" w:eastAsia="Times New Roman" w:hAnsi="Times New Roman" w:cs="Times New Roman"/>
          <w:highlight w:val="none"/>
        </w:rPr>
        <w:t>годовых</w:t>
      </w:r>
      <w:r>
        <w:rPr>
          <w:rFonts w:ascii="Times New Roman" w:eastAsia="Times New Roman" w:hAnsi="Times New Roman" w:cs="Times New Roman"/>
          <w:highlight w:val="none"/>
        </w:rPr>
        <w:t xml:space="preserve"> (п. 12).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4.1.3 </w:t>
      </w:r>
      <w:r>
        <w:rPr>
          <w:rFonts w:ascii="Times New Roman" w:eastAsia="Times New Roman" w:hAnsi="Times New Roman" w:cs="Times New Roman"/>
          <w:highlight w:val="none"/>
        </w:rPr>
        <w:t xml:space="preserve">условий выпуска и обслуживания кредитной карты </w:t>
      </w:r>
      <w:r>
        <w:rPr>
          <w:rFonts w:ascii="Times New Roman" w:eastAsia="Times New Roman" w:hAnsi="Times New Roman" w:cs="Times New Roman"/>
          <w:highlight w:val="none"/>
        </w:rPr>
        <w:t xml:space="preserve">держатель карты обязан до наступления даты платежа пополнить счет карты на сумму обязательного платежа, указанную в отчете для погашения задолженности.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Также держатель карты обязан досрочно погасить по требованию банка сумму общей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задолженности, указанную в соответствующем уведомлении, в случае неисполнения или ненадлежащего исполнения условий.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01 ноября 2018 года Акопян М.А. умерла, что подтверждается свидетельство о смерти, выданным </w:t>
      </w:r>
      <w:r>
        <w:rPr>
          <w:rStyle w:val="cat-Addressgrp-1rplc-3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Хорошевский.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свидетельства</w:t>
      </w:r>
      <w:r>
        <w:rPr>
          <w:rFonts w:ascii="Times New Roman" w:eastAsia="Times New Roman" w:hAnsi="Times New Roman" w:cs="Times New Roman"/>
          <w:highlight w:val="none"/>
        </w:rPr>
        <w:t xml:space="preserve"> о праве </w:t>
      </w:r>
      <w:r>
        <w:rPr>
          <w:rFonts w:ascii="Times New Roman" w:eastAsia="Times New Roman" w:hAnsi="Times New Roman" w:cs="Times New Roman"/>
          <w:highlight w:val="none"/>
        </w:rPr>
        <w:t>на наследство</w:t>
      </w:r>
      <w:r>
        <w:rPr>
          <w:rFonts w:ascii="Times New Roman" w:eastAsia="Times New Roman" w:hAnsi="Times New Roman" w:cs="Times New Roman"/>
          <w:highlight w:val="none"/>
        </w:rPr>
        <w:t xml:space="preserve"> по закону 77АГ</w:t>
      </w:r>
      <w:r>
        <w:rPr>
          <w:rFonts w:ascii="Times New Roman" w:eastAsia="Times New Roman" w:hAnsi="Times New Roman" w:cs="Times New Roman"/>
          <w:highlight w:val="none"/>
        </w:rPr>
        <w:t xml:space="preserve">1112646 от 14.06.2019 </w:t>
      </w:r>
      <w:r>
        <w:rPr>
          <w:rFonts w:ascii="Times New Roman" w:eastAsia="Times New Roman" w:hAnsi="Times New Roman" w:cs="Times New Roman"/>
          <w:highlight w:val="none"/>
        </w:rPr>
        <w:t>наследни</w:t>
      </w:r>
      <w:r>
        <w:rPr>
          <w:rFonts w:ascii="Times New Roman" w:eastAsia="Times New Roman" w:hAnsi="Times New Roman" w:cs="Times New Roman"/>
          <w:highlight w:val="none"/>
        </w:rPr>
        <w:t>ком</w:t>
      </w:r>
      <w:r>
        <w:rPr>
          <w:rFonts w:ascii="Times New Roman" w:eastAsia="Times New Roman" w:hAnsi="Times New Roman" w:cs="Times New Roman"/>
          <w:highlight w:val="none"/>
        </w:rPr>
        <w:t xml:space="preserve"> указанного в свидетельстве имущества умерше</w:t>
      </w:r>
      <w:r>
        <w:rPr>
          <w:rFonts w:ascii="Times New Roman" w:eastAsia="Times New Roman" w:hAnsi="Times New Roman" w:cs="Times New Roman"/>
          <w:highlight w:val="none"/>
        </w:rPr>
        <w:t xml:space="preserve">й Акопян М.А. является ее сын – Акопян Армен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. Наследство состоит из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 марки</w:t>
      </w:r>
      <w:r>
        <w:rPr>
          <w:rFonts w:ascii="Times New Roman" w:eastAsia="Times New Roman" w:hAnsi="Times New Roman" w:cs="Times New Roman"/>
          <w:highlight w:val="none"/>
        </w:rPr>
        <w:t xml:space="preserve"> АФ-77</w:t>
      </w:r>
      <w:r>
        <w:rPr>
          <w:rFonts w:ascii="Times New Roman" w:eastAsia="Times New Roman" w:hAnsi="Times New Roman" w:cs="Times New Roman"/>
          <w:highlight w:val="none"/>
        </w:rPr>
        <w:t>F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>BJ</w:t>
      </w:r>
      <w:r>
        <w:rPr>
          <w:rFonts w:ascii="Times New Roman" w:eastAsia="Times New Roman" w:hAnsi="Times New Roman" w:cs="Times New Roman"/>
          <w:highlight w:val="none"/>
        </w:rPr>
        <w:t>, 2007 года выпуска, стоимостью 177000 руб.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ч. 2 ст. 1152 ГК РФ принятие наследником части наследства означает принятие всего причитающегося ему наследства, в чем бы оно ни заключалось и где бы оно ни находилось. При призвании наследника к наследованию одновременно по нескольким основаниям (по завещанию и по закону или в порядке наследственной трансмиссии и в результате открытия наследства и тому подобное) наследник может принять наследство, причитающееся ему по одному из этих оснований, по нескольким из них или по всем основаниям. Не допускается принятие наследства под условием или с оговорками.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 (ч. 4 ст. 1152 ГК РФ).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Факт неисполнения ответчиком условий договора подтверждается представленным суду расчетом задолженности.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наследственному делу нотариуса </w:t>
      </w:r>
      <w:r>
        <w:rPr>
          <w:rFonts w:ascii="Times New Roman" w:eastAsia="Times New Roman" w:hAnsi="Times New Roman" w:cs="Times New Roman"/>
          <w:highlight w:val="none"/>
        </w:rPr>
        <w:t>Кулакова В.Б.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наследство умерше</w:t>
      </w:r>
      <w:r>
        <w:rPr>
          <w:rFonts w:ascii="Times New Roman" w:eastAsia="Times New Roman" w:hAnsi="Times New Roman" w:cs="Times New Roman"/>
          <w:highlight w:val="none"/>
        </w:rPr>
        <w:t xml:space="preserve">й Акопян М.А.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принял </w:t>
      </w:r>
      <w:r>
        <w:rPr>
          <w:rFonts w:ascii="Times New Roman" w:eastAsia="Times New Roman" w:hAnsi="Times New Roman" w:cs="Times New Roman"/>
          <w:highlight w:val="none"/>
        </w:rPr>
        <w:t>сын</w:t>
      </w:r>
      <w:r>
        <w:rPr>
          <w:rFonts w:ascii="Times New Roman" w:eastAsia="Times New Roman" w:hAnsi="Times New Roman" w:cs="Times New Roman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highlight w:val="none"/>
        </w:rPr>
        <w:t>Акопян А.О. в</w:t>
      </w:r>
      <w:r>
        <w:rPr>
          <w:rFonts w:ascii="Times New Roman" w:eastAsia="Times New Roman" w:hAnsi="Times New Roman" w:cs="Times New Roman"/>
          <w:highlight w:val="none"/>
        </w:rPr>
        <w:t xml:space="preserve"> связи с чем, к не</w:t>
      </w:r>
      <w:r>
        <w:rPr>
          <w:rFonts w:ascii="Times New Roman" w:eastAsia="Times New Roman" w:hAnsi="Times New Roman" w:cs="Times New Roman"/>
          <w:highlight w:val="none"/>
        </w:rPr>
        <w:t>му</w:t>
      </w:r>
      <w:r>
        <w:rPr>
          <w:rFonts w:ascii="Times New Roman" w:eastAsia="Times New Roman" w:hAnsi="Times New Roman" w:cs="Times New Roman"/>
          <w:highlight w:val="none"/>
        </w:rPr>
        <w:t xml:space="preserve"> перешла обязанность по возврату денежных средств.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 находит обоснованным требования истца о взыскании с ответчика задолженности по </w:t>
      </w:r>
      <w:r>
        <w:rPr>
          <w:rFonts w:ascii="Times New Roman" w:eastAsia="Times New Roman" w:hAnsi="Times New Roman" w:cs="Times New Roman"/>
          <w:highlight w:val="none"/>
        </w:rPr>
        <w:t>эмиссионному контракту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Fonts w:ascii="Times New Roman" w:eastAsia="Times New Roman" w:hAnsi="Times New Roman" w:cs="Times New Roman"/>
          <w:highlight w:val="none"/>
        </w:rPr>
        <w:t>28540,17 руб.</w:t>
      </w:r>
      <w:r>
        <w:rPr>
          <w:rFonts w:ascii="Times New Roman" w:eastAsia="Times New Roman" w:hAnsi="Times New Roman" w:cs="Times New Roman"/>
          <w:highlight w:val="none"/>
        </w:rPr>
        <w:t xml:space="preserve"> образовавшейся по состоянию на </w:t>
      </w:r>
      <w:r>
        <w:rPr>
          <w:rFonts w:ascii="Times New Roman" w:eastAsia="Times New Roman" w:hAnsi="Times New Roman" w:cs="Times New Roman"/>
          <w:highlight w:val="none"/>
        </w:rPr>
        <w:t xml:space="preserve">11.10.2021.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Учитывая, что исковые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удовлетворены, с ответчика подлежит взысканию государственная пошлина, уплаченная истцом при подаче в суд искового заявления в размере </w:t>
      </w:r>
      <w:r>
        <w:rPr>
          <w:rFonts w:ascii="Times New Roman" w:eastAsia="Times New Roman" w:hAnsi="Times New Roman" w:cs="Times New Roman"/>
          <w:highlight w:val="none"/>
        </w:rPr>
        <w:t xml:space="preserve">1053 руб. 51 коп.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 </w:t>
      </w:r>
      <w:r>
        <w:rPr>
          <w:rFonts w:ascii="Times New Roman" w:eastAsia="Times New Roman" w:hAnsi="Times New Roman" w:cs="Times New Roman"/>
          <w:highlight w:val="none"/>
        </w:rPr>
        <w:t>изложенно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 194-198 ГПК РФ, суд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–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highlight w:val="none"/>
        </w:rPr>
        <w:t>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Акопян</w:t>
      </w:r>
      <w:r>
        <w:rPr>
          <w:rFonts w:ascii="Times New Roman" w:eastAsia="Times New Roman" w:hAnsi="Times New Roman" w:cs="Times New Roman"/>
          <w:highlight w:val="none"/>
        </w:rPr>
        <w:t xml:space="preserve">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Армен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Оганесович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ПАО Сбербанк в лице филиала – Московский банк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>эмиссионному контракту №0910-Р-8119109630 в размере 28450 руб. 17 коп</w:t>
      </w:r>
      <w:r>
        <w:rPr>
          <w:rFonts w:ascii="Times New Roman" w:eastAsia="Times New Roman" w:hAnsi="Times New Roman" w:cs="Times New Roman"/>
          <w:highlight w:val="none"/>
        </w:rPr>
        <w:t xml:space="preserve">., </w:t>
      </w:r>
      <w:r>
        <w:rPr>
          <w:rFonts w:ascii="Times New Roman" w:eastAsia="Times New Roman" w:hAnsi="Times New Roman" w:cs="Times New Roman"/>
          <w:highlight w:val="none"/>
        </w:rPr>
        <w:t xml:space="preserve">расходы по оплате государственной пошлины </w:t>
      </w:r>
      <w:r>
        <w:rPr>
          <w:rFonts w:ascii="Times New Roman" w:eastAsia="Times New Roman" w:hAnsi="Times New Roman" w:cs="Times New Roman"/>
          <w:highlight w:val="none"/>
        </w:rPr>
        <w:t>в размере 1053 руб. 51 коп.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0rplc-4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М.А. </w:t>
      </w:r>
      <w:r>
        <w:rPr>
          <w:rFonts w:ascii="Times New Roman" w:eastAsia="Times New Roman" w:hAnsi="Times New Roman" w:cs="Times New Roman"/>
          <w:highlight w:val="none"/>
        </w:rPr>
        <w:t>Макляк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jc w:val="center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Решение в окончательной форме изготовлено </w:t>
      </w:r>
      <w:r>
        <w:rPr>
          <w:rFonts w:ascii="Times New Roman" w:eastAsia="Times New Roman" w:hAnsi="Times New Roman" w:cs="Times New Roman"/>
          <w:highlight w:val="none"/>
        </w:rPr>
        <w:t>09 сентября</w:t>
      </w:r>
      <w:r>
        <w:rPr>
          <w:rFonts w:ascii="Times New Roman" w:eastAsia="Times New Roman" w:hAnsi="Times New Roman" w:cs="Times New Roman"/>
          <w:highlight w:val="none"/>
        </w:rPr>
        <w:t xml:space="preserve"> 2022</w:t>
      </w:r>
      <w:r>
        <w:rPr>
          <w:rFonts w:ascii="Times New Roman" w:eastAsia="Times New Roman" w:hAnsi="Times New Roman" w:cs="Times New Roman"/>
          <w:highlight w:val="none"/>
        </w:rPr>
        <w:t xml:space="preserve"> года.</w:t>
      </w:r>
    </w:p>
    <w:p>
      <w:pPr>
        <w:spacing w:before="0" w:after="0"/>
        <w:jc w:val="center"/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p>
      <w:pPr>
        <w:spacing w:before="0" w:after="200" w:line="276" w:lineRule="auto"/>
        <w:rPr>
          <w:sz w:val="22"/>
          <w:szCs w:val="22"/>
        </w:rPr>
      </w:pPr>
    </w:p>
    <w:tbl>
      <w:tblPr>
        <w:tblpPr w:leftFromText="180" w:rightFromText="180" w:topFromText="0" w:bottomFromText="0" w:vertAnchor="text" w:tblpY="1"/>
        <w:tblOverlap w:val="never"/>
        <w:tblW w:w="986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50"/>
        <w:gridCol w:w="1384"/>
        <w:gridCol w:w="3733"/>
      </w:tblGrid>
      <w:tr>
        <w:tblPrEx>
          <w:tblW w:w="986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9"/>
        </w:trPr>
        <w:tc>
          <w:tcPr>
            <w:tcW w:w="471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highlight w:val="none"/>
              </w:rPr>
              <w:t>РОССИЙСКАЯ ФЕДЕРАЦИЯ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highlight w:val="none"/>
              </w:rPr>
              <w:t>Тимирязевский районный суд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at-Addressgrp-2rplc-5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highlight w:val="none"/>
              </w:rPr>
              <w:t>адрес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at-Addressgrp-3rplc-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>адрес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at-Addressgrp-4rplc-5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>адрес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 xml:space="preserve">Тел.: </w:t>
            </w:r>
            <w:r>
              <w:rPr>
                <w:rStyle w:val="cat-PhoneNumbergrp-24rplc-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>телефон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>; факс 8(495)482-21-85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instrText xml:space="preserve"> HYPERLINK "mailto:timiryazevsky.msk@sudrf.ru" </w:instrTex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highlight w:val="none"/>
                <w:u w:val="single" w:color="0000EE"/>
              </w:rPr>
              <w:t>timiryazevsky.msk@sudrf.ru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u w:val="single" w:color="0000E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instrText xml:space="preserve"> HYPERLINK "http://timiryazevsky.msk.sudrf.ru" </w:instrTex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highlight w:val="none"/>
                <w:u w:val="single" w:color="0000EE"/>
              </w:rPr>
              <w:t>http://timiryazevsky.msk.sudrf.ru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u w:val="single" w:color="0000EE"/>
              </w:rPr>
              <w:fldChar w:fldCharType="end"/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_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135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/2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  <w:u w:val="single" w:color="000000"/>
              </w:rPr>
              <w:t>2</w:t>
            </w:r>
          </w:p>
        </w:tc>
        <w:tc>
          <w:tcPr>
            <w:tcW w:w="132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keepNext/>
              <w:spacing w:before="0" w:after="20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8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 xml:space="preserve">ПАО Сбербанк в лице филиала – Московский банк ПАО Сбербанк 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highlight w:val="none"/>
              </w:rPr>
              <w:t>Акопяну А.О.</w:t>
            </w: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27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200" w:line="276" w:lineRule="auto"/>
        <w:ind w:right="5"/>
        <w:jc w:val="center"/>
      </w:pPr>
    </w:p>
    <w:p>
      <w:pPr>
        <w:spacing w:before="0" w:after="200" w:line="276" w:lineRule="auto"/>
        <w:jc w:val="both"/>
      </w:pPr>
    </w:p>
    <w:p>
      <w:pPr>
        <w:spacing w:before="0" w:after="200"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Тимирязевский районный суд </w:t>
      </w:r>
      <w:r>
        <w:rPr>
          <w:rStyle w:val="cat-Addressgrp-0rplc-5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направляет Вам копию мотивированного решения суда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№2-1352/2022 по ПАО Сбербанк в лице филиала – Московс</w:t>
      </w:r>
      <w:r>
        <w:rPr>
          <w:rFonts w:ascii="Times New Roman" w:eastAsia="Times New Roman" w:hAnsi="Times New Roman" w:cs="Times New Roman"/>
          <w:highlight w:val="none"/>
        </w:rPr>
        <w:t>кий банк ПАО Сбербанк к Акопяну</w:t>
      </w:r>
      <w:r>
        <w:rPr>
          <w:rFonts w:ascii="Times New Roman" w:eastAsia="Times New Roman" w:hAnsi="Times New Roman" w:cs="Times New Roman"/>
          <w:highlight w:val="none"/>
        </w:rPr>
        <w:t xml:space="preserve"> Армену </w:t>
      </w:r>
      <w:r>
        <w:rPr>
          <w:rFonts w:ascii="Times New Roman" w:eastAsia="Times New Roman" w:hAnsi="Times New Roman" w:cs="Times New Roman"/>
          <w:highlight w:val="none"/>
        </w:rPr>
        <w:t>Оганесовичу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200" w:line="276" w:lineRule="auto"/>
        <w:ind w:firstLine="708"/>
        <w:jc w:val="center"/>
      </w:pPr>
    </w:p>
    <w:p>
      <w:pPr>
        <w:spacing w:before="0" w:after="200" w:line="276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М.А. </w:t>
      </w:r>
      <w:r>
        <w:rPr>
          <w:rFonts w:ascii="Times New Roman" w:eastAsia="Times New Roman" w:hAnsi="Times New Roman" w:cs="Times New Roman"/>
          <w:highlight w:val="none"/>
        </w:rPr>
        <w:t>Макляк</w:t>
      </w:r>
    </w:p>
    <w:p>
      <w:pPr>
        <w:spacing w:before="0" w:after="200" w:line="276" w:lineRule="auto"/>
        <w:ind w:firstLine="708"/>
      </w:pPr>
    </w:p>
    <w:p>
      <w:pPr>
        <w:spacing w:before="0" w:after="0" w:line="276" w:lineRule="auto"/>
        <w:ind w:firstLine="708"/>
      </w:pPr>
    </w:p>
    <w:p>
      <w:pPr>
        <w:spacing w:before="0" w:after="0" w:line="276" w:lineRule="auto"/>
        <w:rPr>
          <w:sz w:val="22"/>
          <w:szCs w:val="22"/>
        </w:rPr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right"/>
      </w:pPr>
    </w:p>
    <w:p>
      <w:pPr>
        <w:spacing w:before="0" w:after="0"/>
        <w:jc w:val="center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Addressgrp-0rplc-28">
    <w:name w:val="cat-Address grp-0 rplc-28"/>
    <w:basedOn w:val="DefaultParagraphFont"/>
  </w:style>
  <w:style w:type="character" w:customStyle="1" w:styleId="cat-Addressgrp-1rplc-35">
    <w:name w:val="cat-Address grp-1 rplc-35"/>
    <w:basedOn w:val="DefaultParagraphFont"/>
  </w:style>
  <w:style w:type="character" w:customStyle="1" w:styleId="cat-Addressgrp-0rplc-48">
    <w:name w:val="cat-Address grp-0 rplc-48"/>
    <w:basedOn w:val="DefaultParagraphFont"/>
  </w:style>
  <w:style w:type="character" w:customStyle="1" w:styleId="cat-Addressgrp-2rplc-50">
    <w:name w:val="cat-Address grp-2 rplc-50"/>
    <w:basedOn w:val="DefaultParagraphFont"/>
  </w:style>
  <w:style w:type="character" w:customStyle="1" w:styleId="cat-Addressgrp-3rplc-51">
    <w:name w:val="cat-Address grp-3 rplc-51"/>
    <w:basedOn w:val="DefaultParagraphFont"/>
  </w:style>
  <w:style w:type="character" w:customStyle="1" w:styleId="cat-Addressgrp-4rplc-52">
    <w:name w:val="cat-Address grp-4 rplc-52"/>
    <w:basedOn w:val="DefaultParagraphFont"/>
  </w:style>
  <w:style w:type="character" w:customStyle="1" w:styleId="cat-PhoneNumbergrp-24rplc-53">
    <w:name w:val="cat-PhoneNumber grp-24 rplc-53"/>
    <w:basedOn w:val="DefaultParagraphFont"/>
  </w:style>
  <w:style w:type="character" w:customStyle="1" w:styleId="cat-Addressgrp-0rplc-55">
    <w:name w:val="cat-Address grp-0 rplc-5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