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77RS003-02-2023</w:t>
      </w:r>
      <w:r>
        <w:rPr>
          <w:rFonts w:ascii="Times New Roman" w:eastAsia="Times New Roman" w:hAnsi="Times New Roman" w:cs="Times New Roman"/>
          <w:highlight w:val="none"/>
        </w:rPr>
        <w:t>-001141-86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15 марта 2023 года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помощнике судьи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 2-1533/2023 по иску ПАО Сбербанк в лице филиала - Московский Банк ПАО Сбербанк к Сучкову Э.Е. о взыскании задолженности по эмиссионному контракту,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(далее - Банк) обратилось в суд с иском к Сучкову Э.Е. о взыскании задолженности по эмиссионному контракту № 0910-Р-939964510 от 22.05.2013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рублях, однако ответчик обязательные платежи по кредиту не вносил, допустил образование задолженности в сумме </w:t>
      </w:r>
      <w:r>
        <w:rPr>
          <w:rStyle w:val="cat-Sumgrp-5rplc-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от возврата денежных средств уклоняется, в связи с чем, истцом заявлены настоящие требования.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судом в отсутствие надлежаще извещенных о месте и времени судебного заседания представителя истца ПАО Сбербанк в лице филиала - Московский Банк ПАО Сбербанк и ответчика </w:t>
      </w:r>
      <w:r>
        <w:rPr>
          <w:rStyle w:val="cat-FIOgrp-4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по правилам ч. ч. 4, 5 ст. 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ст. 809 - 810,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договором. Заемщик обязан возвратить займодавцу полученную сумму займа в срок и в порядке, предусмотренные договором. Займодавец имеет право на получение с заемщика процентов за пользование займом в размерах и в порядке, определенных договором. Заем считается возвращенным в момент передачи его займодавцу, в том числе в момент поступления соответствующей суммы денежных средств в банк, в котором открыт банковский счет займодавца.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ст. 309, 310 ГК РФ обязательства должны исполняться надлежащим образом. Односторонний отказ от исполнения обязательства и одностороннее изменение его условий не допускаются.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 письменных материалов дела следует, что 22.05.2013 ответчик обратился в ПАО Сбербанк с заявлением на получение кредитной карты, в котором просил Банк открыть ему счет и выдать кредитную карту ПАО Сбербанк.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Стороны согласовали и подписали условия выпуска и обслуживания кредитной карты ПАО Сбербанк № 0910-Р-939964510: </w:t>
      </w:r>
      <w:r>
        <w:rPr>
          <w:rFonts w:ascii="Times New Roman" w:eastAsia="Times New Roman" w:hAnsi="Times New Roman" w:cs="Times New Roman"/>
          <w:highlight w:val="none"/>
        </w:rPr>
        <w:t>первоначальный</w:t>
      </w:r>
      <w:r>
        <w:rPr>
          <w:rFonts w:ascii="Times New Roman" w:eastAsia="Times New Roman" w:hAnsi="Times New Roman" w:cs="Times New Roman"/>
          <w:highlight w:val="none"/>
        </w:rPr>
        <w:t xml:space="preserve"> лимит кредита </w:t>
      </w:r>
      <w:r>
        <w:rPr>
          <w:rStyle w:val="cat-Sumgrp-6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; процентная ставка - 17,9 % годовых, при выполнении клиентом условий предоставленного льготного периода проценты за пользование кредитом составляют 0 % годовых.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 данному заявлению ПАО Сбербанк открыл заемщику лицевой счет и выдал банковскую карту.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изложенного, суд приходит к выводу, что между сторонами в </w:t>
      </w:r>
      <w:r>
        <w:rPr>
          <w:rFonts w:ascii="Times New Roman" w:eastAsia="Times New Roman" w:hAnsi="Times New Roman" w:cs="Times New Roman"/>
          <w:highlight w:val="none"/>
        </w:rPr>
        <w:t>оферто</w:t>
      </w:r>
      <w:r>
        <w:rPr>
          <w:rFonts w:ascii="Times New Roman" w:eastAsia="Times New Roman" w:hAnsi="Times New Roman" w:cs="Times New Roman"/>
          <w:highlight w:val="none"/>
        </w:rPr>
        <w:t xml:space="preserve">-акцептной форме заключен кредитный договор (эмиссионный контракт) на предоставление возобновляемой кредитной линии посредством выдачи кредитной карты Банка с </w:t>
      </w:r>
      <w:r>
        <w:rPr>
          <w:rFonts w:ascii="Times New Roman" w:eastAsia="Times New Roman" w:hAnsi="Times New Roman" w:cs="Times New Roman"/>
          <w:highlight w:val="none"/>
        </w:rPr>
        <w:t>предоставленным по ней кредитом и обслуживанием счета по данной карте в российских рублях.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Данный договор по существу является договором присоединения, основные положения которого в одностороннем порядке сформулированы банком в Общих условиях, что не противоречит требованиям ст. 482 ГК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Выпиской по счету подтверждается, что ответчик воспользовался денежными средствами, предоставленными истцом по эмиссионному контракту, однако платежи в счет погашения кредитной задолженности вносил не регулярно и не в полном размере, в результате чего у ответчика перед истцом образовалась задолженность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расчету истца, проверенному судом и признанному арифметически верным, задолженность ответчика по состоянию на 13.12.2022 составляет </w:t>
      </w:r>
      <w:r>
        <w:rPr>
          <w:rStyle w:val="cat-Sumgrp-5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из них: </w:t>
      </w:r>
      <w:r>
        <w:rPr>
          <w:rStyle w:val="cat-Sumgrp-7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- просроченный основной долг, </w:t>
      </w:r>
      <w:r>
        <w:rPr>
          <w:rStyle w:val="cat-Sumgrp-8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- просроченные проценты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Доказательств, опровергающих доводы истца, в том числе о факте нарушения обязательств по кредитному договору, ответчик в порядке статьи 56 ГПК РФ не представил, размер задолженности или ее расчет не оспорил, поэтому суд считает требования истца обоснованными и подлежащими удовлетворению на сумму </w:t>
      </w:r>
      <w:r>
        <w:rPr>
          <w:rStyle w:val="cat-Sumgrp-5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погашения задолженности по эмиссионному контракту № 0910-Р-939964510 от 22.05.2013.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истца по оплате государственной пошлины по иску в размере </w:t>
      </w:r>
      <w:r>
        <w:rPr>
          <w:rStyle w:val="cat-Sumgrp-9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распределяются судом в соответствии со статьей 98 ГПК РФ и относятся на ответчика.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193 - 199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ПАО Сбербанк в лице филиала - Московский Банк ПАО Сбербанк (ИНН 7707083893)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- 4507 113825) в пользу ПАО Сбербанк в лице филиала - Московский Банк ПАО Сбербанк задолженность по эмиссионному контракту № 0910-Р-939964510 от 22.05.2013 в размере </w:t>
      </w:r>
      <w:r>
        <w:rPr>
          <w:rStyle w:val="cat-Sumgrp-5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суда может быть обжаловано в апелляционном порядке в Московский городской суд в течение одного месяца после составления решения в окончательной форме.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в окончательной форме принято 21.03.2023</w:t>
      </w: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77RS003-02-2023</w:t>
      </w:r>
      <w:r>
        <w:rPr>
          <w:rFonts w:ascii="Times New Roman" w:eastAsia="Times New Roman" w:hAnsi="Times New Roman" w:cs="Times New Roman"/>
          <w:highlight w:val="none"/>
        </w:rPr>
        <w:t>-001141-86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15 марта 2023 года Бутырский районный суд </w:t>
      </w:r>
      <w:r>
        <w:rPr>
          <w:rStyle w:val="cat-Addressgrp-0rplc-1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помощнике судьи </w:t>
      </w:r>
      <w:r>
        <w:rPr>
          <w:rStyle w:val="cat-FIOgrp-2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 2-1533/2023 по иску ПАО Сбербанк в лице филиала - Московский Банк ПАО Сбербанк к Сучкову Э.Е. о взыскании задолженности по эмиссионному контракту,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193 - 199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Исковые требования ПАО Сбербанк в лице филиала - Московский Банк ПАО Сбербанк (ИНН 7707083893)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4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- 4507 113825) в пользу ПАО Сбербанк в лице филиала - Московский Банк ПАО Сбербанк задолженность по эмиссионному контракту № 0910-Р-939964510 от 22.05.2013 в размере </w:t>
      </w:r>
      <w:r>
        <w:rPr>
          <w:rStyle w:val="cat-Sumgrp-5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9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Решение суда может быть обжаловано в апелляционном порядке в Московский городской суд в течение одного месяца после составления решения в окончательной форме.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5rplc-5">
    <w:name w:val="cat-Sum grp-5 rplc-5"/>
    <w:basedOn w:val="DefaultParagraphFont"/>
  </w:style>
  <w:style w:type="character" w:customStyle="1" w:styleId="cat-FIOgrp-4rplc-6">
    <w:name w:val="cat-FIO grp-4 rplc-6"/>
    <w:basedOn w:val="DefaultParagraphFont"/>
  </w:style>
  <w:style w:type="character" w:customStyle="1" w:styleId="cat-Sumgrp-6rplc-7">
    <w:name w:val="cat-Sum grp-6 rplc-7"/>
    <w:basedOn w:val="DefaultParagraphFont"/>
  </w:style>
  <w:style w:type="character" w:customStyle="1" w:styleId="cat-Sumgrp-5rplc-8">
    <w:name w:val="cat-Sum grp-5 rplc-8"/>
    <w:basedOn w:val="DefaultParagraphFont"/>
  </w:style>
  <w:style w:type="character" w:customStyle="1" w:styleId="cat-Sumgrp-7rplc-9">
    <w:name w:val="cat-Sum grp-7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5rplc-11">
    <w:name w:val="cat-Sum grp-5 rplc-11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FIOgrp-4rplc-13">
    <w:name w:val="cat-FIO grp-4 rplc-13"/>
    <w:basedOn w:val="DefaultParagraphFont"/>
  </w:style>
  <w:style w:type="character" w:customStyle="1" w:styleId="cat-Sumgrp-5rplc-14">
    <w:name w:val="cat-Sum grp-5 rplc-14"/>
    <w:basedOn w:val="DefaultParagraphFont"/>
  </w:style>
  <w:style w:type="character" w:customStyle="1" w:styleId="cat-Sumgrp-9rplc-15">
    <w:name w:val="cat-Sum grp-9 rplc-15"/>
    <w:basedOn w:val="DefaultParagraphFont"/>
  </w:style>
  <w:style w:type="character" w:customStyle="1" w:styleId="cat-Addressgrp-0rplc-16">
    <w:name w:val="cat-Address grp-0 rplc-16"/>
    <w:basedOn w:val="DefaultParagraphFont"/>
  </w:style>
  <w:style w:type="character" w:customStyle="1" w:styleId="cat-FIOgrp-2rplc-18">
    <w:name w:val="cat-FIO grp-2 rplc-18"/>
    <w:basedOn w:val="DefaultParagraphFont"/>
  </w:style>
  <w:style w:type="character" w:customStyle="1" w:styleId="cat-FIOgrp-4rplc-20">
    <w:name w:val="cat-FIO grp-4 rplc-20"/>
    <w:basedOn w:val="DefaultParagraphFont"/>
  </w:style>
  <w:style w:type="character" w:customStyle="1" w:styleId="cat-Sumgrp-5rplc-21">
    <w:name w:val="cat-Sum grp-5 rplc-21"/>
    <w:basedOn w:val="DefaultParagraphFont"/>
  </w:style>
  <w:style w:type="character" w:customStyle="1" w:styleId="cat-Sumgrp-9rplc-22">
    <w:name w:val="cat-Sum grp-9 rplc-2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