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8B6033" w14:textId="77777777" w:rsidR="00000000" w:rsidRDefault="006A4D41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4F6682F" w14:textId="77777777" w:rsidR="00000000" w:rsidRDefault="006A4D4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C079D07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0B1FFA1A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64CA61C7" w14:textId="77777777" w:rsidR="00000000" w:rsidRDefault="006A4D41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06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4316012F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3E384583" w14:textId="77777777" w:rsidR="00000000" w:rsidRDefault="006A4D4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FCF797A" w14:textId="77777777" w:rsidR="00000000" w:rsidRDefault="006A4D4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2573EA5B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AF25EE7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2-1647/2</w:t>
      </w:r>
      <w:r>
        <w:rPr>
          <w:lang w:val="en-BE" w:eastAsia="en-BE" w:bidi="ar-SA"/>
        </w:rPr>
        <w:t xml:space="preserve">022 (УИД 77RS0014-02-2022-001683-92) по иску ПАО «Сбербанк России» в лице филиала – Московского банка Сбербанка России ПАО к Гурбанову </w:t>
      </w:r>
      <w:r>
        <w:rPr>
          <w:rStyle w:val="cat-FIOgrp-7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договору, руководствуясь ст. 199 ГПК РФ,</w:t>
      </w:r>
    </w:p>
    <w:p w14:paraId="6F2FA672" w14:textId="77777777" w:rsidR="00000000" w:rsidRDefault="006A4D41">
      <w:pPr>
        <w:jc w:val="both"/>
        <w:rPr>
          <w:lang w:val="en-BE" w:eastAsia="en-BE" w:bidi="ar-SA"/>
        </w:rPr>
      </w:pPr>
    </w:p>
    <w:p w14:paraId="12115E3A" w14:textId="77777777" w:rsidR="00000000" w:rsidRDefault="006A4D4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</w:t>
      </w:r>
      <w:r>
        <w:rPr>
          <w:b/>
          <w:bCs/>
          <w:lang w:val="en-BE" w:eastAsia="en-BE" w:bidi="ar-SA"/>
        </w:rPr>
        <w:t>ШИЛ:</w:t>
      </w:r>
    </w:p>
    <w:p w14:paraId="3F587F75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411E81AC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Сбербанка России ПАО к Гурбанову </w:t>
      </w:r>
      <w:r>
        <w:rPr>
          <w:rStyle w:val="cat-FIOgrp-7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 удовлетворить частично.</w:t>
      </w:r>
    </w:p>
    <w:p w14:paraId="4A6178FA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о</w:t>
      </w:r>
      <w:r>
        <w:rPr>
          <w:lang w:val="en-BE" w:eastAsia="en-BE" w:bidi="ar-SA"/>
        </w:rPr>
        <w:t xml:space="preserve">т 29 октября 2018 года № 93390566, заключенный между Гурбановым </w:t>
      </w:r>
      <w:r>
        <w:rPr>
          <w:rStyle w:val="cat-FIOgrp-7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ПАО «Сбербанк России».</w:t>
      </w:r>
    </w:p>
    <w:p w14:paraId="186AF254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Гурбанова </w:t>
      </w:r>
      <w:r>
        <w:rPr>
          <w:rStyle w:val="cat-FIOgrp-8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– Московского банка Сбербанка России ПАО задолженность по кредитному договору от 29 октября </w:t>
      </w:r>
      <w:r>
        <w:rPr>
          <w:lang w:val="en-BE" w:eastAsia="en-BE" w:bidi="ar-SA"/>
        </w:rPr>
        <w:t xml:space="preserve">2018 года № 93390566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9"/>
          <w:lang w:val="en-BE" w:eastAsia="en-BE" w:bidi="ar-SA"/>
        </w:rPr>
        <w:t>сумма</w:t>
      </w:r>
    </w:p>
    <w:p w14:paraId="59DF3C62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641C5A75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</w:t>
      </w:r>
      <w:r>
        <w:rPr>
          <w:lang w:val="en-BE" w:eastAsia="en-BE" w:bidi="ar-SA"/>
        </w:rPr>
        <w:t>ечение месяца со дня принятия решения суда в окончательной форме.</w:t>
      </w:r>
    </w:p>
    <w:p w14:paraId="2EC7390F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2BE4C646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02972C66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rStyle w:val="cat-FIOgrp-11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7C8EE4AC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10E78D5B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1E2691A2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48ADC8D2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4DFDF961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2354D6F5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08C72AE2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5BC4C437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26A860F3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249C247E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1530C3ED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0AD91FE3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46A8F133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5A3A1209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00D2BB51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2F68AFF3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5E32C67B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5CF553C8" w14:textId="77777777" w:rsidR="00000000" w:rsidRDefault="006A4D41">
      <w:pPr>
        <w:jc w:val="center"/>
        <w:rPr>
          <w:lang w:val="en-BE" w:eastAsia="en-BE" w:bidi="ar-SA"/>
        </w:rPr>
      </w:pPr>
    </w:p>
    <w:p w14:paraId="4A9C01D0" w14:textId="77777777" w:rsidR="00000000" w:rsidRDefault="006A4D41">
      <w:pPr>
        <w:jc w:val="center"/>
        <w:rPr>
          <w:lang w:val="en-BE" w:eastAsia="en-BE" w:bidi="ar-SA"/>
        </w:rPr>
      </w:pPr>
    </w:p>
    <w:p w14:paraId="5DFE6074" w14:textId="77777777" w:rsidR="00000000" w:rsidRDefault="006A4D4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2C71E75" w14:textId="77777777" w:rsidR="00000000" w:rsidRDefault="006A4D4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BE81997" w14:textId="77777777" w:rsidR="00000000" w:rsidRDefault="006A4D41">
      <w:pPr>
        <w:jc w:val="both"/>
        <w:rPr>
          <w:lang w:val="en-BE" w:eastAsia="en-BE" w:bidi="ar-SA"/>
        </w:rPr>
      </w:pPr>
    </w:p>
    <w:p w14:paraId="022A7A59" w14:textId="77777777" w:rsidR="00000000" w:rsidRDefault="006A4D41">
      <w:pPr>
        <w:jc w:val="both"/>
        <w:rPr>
          <w:lang w:val="en-BE" w:eastAsia="en-BE" w:bidi="ar-SA"/>
        </w:rPr>
      </w:pPr>
    </w:p>
    <w:p w14:paraId="32A44D33" w14:textId="77777777" w:rsidR="00000000" w:rsidRDefault="006A4D41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06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64325F17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7B76E3B9" w14:textId="77777777" w:rsidR="00000000" w:rsidRDefault="006A4D4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B0B1F67" w14:textId="77777777" w:rsidR="00000000" w:rsidRDefault="006A4D4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14"/>
          <w:lang w:val="en-BE" w:eastAsia="en-BE" w:bidi="ar-SA"/>
        </w:rPr>
        <w:t>фи</w:t>
      </w:r>
      <w:r>
        <w:rPr>
          <w:rStyle w:val="cat-FIOgrp-5rplc-14"/>
          <w:lang w:val="en-BE" w:eastAsia="en-BE" w:bidi="ar-SA"/>
        </w:rPr>
        <w:t>о</w:t>
      </w:r>
    </w:p>
    <w:p w14:paraId="14C07B2D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7422F23" w14:textId="77777777" w:rsidR="00000000" w:rsidRDefault="006A4D4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2-1647/2022 (УИД 77RS0014-02-2022-001683-92) по иску ПАО «Сбербанк России» в лице филиала – Московского банка Сбербанка России ПАО к Гурбанову </w:t>
      </w:r>
      <w:r>
        <w:rPr>
          <w:rStyle w:val="cat-FIOgrp-7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</w:t>
      </w:r>
      <w:r>
        <w:rPr>
          <w:lang w:val="en-BE" w:eastAsia="en-BE" w:bidi="ar-SA"/>
        </w:rPr>
        <w:t xml:space="preserve">жении кредитного договора, взыскании задолженности по кредитному договору, </w:t>
      </w:r>
    </w:p>
    <w:p w14:paraId="011717A1" w14:textId="77777777" w:rsidR="00000000" w:rsidRDefault="006A4D41">
      <w:pPr>
        <w:jc w:val="center"/>
        <w:rPr>
          <w:lang w:val="en-BE" w:eastAsia="en-BE" w:bidi="ar-SA"/>
        </w:rPr>
      </w:pPr>
    </w:p>
    <w:p w14:paraId="6DF21AA8" w14:textId="77777777" w:rsidR="00000000" w:rsidRDefault="006A4D4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BF58E73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1666BB0E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соответствии с</w:t>
      </w:r>
      <w:r>
        <w:rPr>
          <w:lang w:val="en-BE" w:eastAsia="en-BE" w:bidi="ar-SA"/>
        </w:rPr>
        <w:t xml:space="preserve">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</w:t>
      </w:r>
      <w:r>
        <w:rPr>
          <w:lang w:val="en-BE" w:eastAsia="en-BE" w:bidi="ar-SA"/>
        </w:rPr>
        <w:t>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исполнено.</w:t>
      </w:r>
    </w:p>
    <w:p w14:paraId="7E22C380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</w:t>
      </w:r>
      <w:r>
        <w:rPr>
          <w:lang w:val="en-BE" w:eastAsia="en-BE" w:bidi="ar-SA"/>
        </w:rPr>
        <w:t xml:space="preserve"> истца задолженность по кредитному договору, а также расходы истца по уплате государственной пошлины.</w:t>
      </w:r>
    </w:p>
    <w:p w14:paraId="16B30747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</w:t>
      </w:r>
      <w:r>
        <w:rPr>
          <w:lang w:val="en-BE" w:eastAsia="en-BE" w:bidi="ar-SA"/>
        </w:rPr>
        <w:t>лении истец ходатайствовал о рассмотрении дела в отсутствие его представителя.</w:t>
      </w:r>
    </w:p>
    <w:p w14:paraId="6D2AF958" w14:textId="77777777" w:rsidR="00000000" w:rsidRDefault="006A4D4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9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о. в судебное заседание не явился, причину неявки суду не сообщил, об отложении судебного разбирательства не ходатайствовал, своего представителя в суд не направил, </w:t>
      </w:r>
      <w:r>
        <w:rPr>
          <w:lang w:val="en-BE" w:eastAsia="en-BE" w:bidi="ar-SA"/>
        </w:rPr>
        <w:t>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</w:t>
      </w:r>
      <w:r>
        <w:rPr>
          <w:lang w:val="en-BE" w:eastAsia="en-BE" w:bidi="ar-SA"/>
        </w:rPr>
        <w:t>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</w:t>
      </w:r>
      <w:r>
        <w:rPr>
          <w:lang w:val="en-BE" w:eastAsia="en-BE" w:bidi="ar-SA"/>
        </w:rPr>
        <w:t>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24AC9AE8" w14:textId="77777777" w:rsidR="00000000" w:rsidRDefault="006A4D4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</w:t>
      </w:r>
      <w:r>
        <w:rPr>
          <w:lang w:val="en-BE" w:eastAsia="en-BE" w:bidi="ar-SA"/>
        </w:rPr>
        <w:t>м рассмотреть дело в данном судебном заседании в отсутствие не явившихся лиц.</w:t>
      </w:r>
    </w:p>
    <w:p w14:paraId="0CBF8C87" w14:textId="77777777" w:rsidR="00000000" w:rsidRDefault="006A4D4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2B7ECD25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</w:t>
      </w:r>
      <w:r>
        <w:rPr>
          <w:lang w:val="en-BE" w:eastAsia="en-BE" w:bidi="ar-SA"/>
        </w:rPr>
        <w:t xml:space="preserve">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</w:t>
      </w:r>
      <w:r>
        <w:rPr>
          <w:lang w:val="en-BE" w:eastAsia="en-BE" w:bidi="ar-SA"/>
        </w:rPr>
        <w:t xml:space="preserve">мму и уплатить проценты на нее. </w:t>
      </w:r>
    </w:p>
    <w:p w14:paraId="3A90BD76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5DC13A79" w14:textId="77777777" w:rsidR="00000000" w:rsidRDefault="006A4D4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</w:t>
      </w:r>
      <w:r>
        <w:rPr>
          <w:lang w:val="en-BE" w:eastAsia="en-BE" w:bidi="ar-SA"/>
        </w:rPr>
        <w:t>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</w:t>
      </w:r>
      <w:r>
        <w:rPr>
          <w:lang w:val="en-BE" w:eastAsia="en-BE" w:bidi="ar-SA"/>
        </w:rPr>
        <w:t>ями.</w:t>
      </w:r>
    </w:p>
    <w:p w14:paraId="58ED0F4B" w14:textId="77777777" w:rsidR="00000000" w:rsidRDefault="006A4D4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19709A33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</w:t>
      </w:r>
      <w:r>
        <w:rPr>
          <w:lang w:val="en-BE" w:eastAsia="en-BE" w:bidi="ar-SA"/>
        </w:rPr>
        <w:t>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0FD843DD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</w:t>
      </w:r>
      <w:r>
        <w:rPr>
          <w:lang w:val="en-BE" w:eastAsia="en-BE" w:bidi="ar-SA"/>
        </w:rPr>
        <w:t xml:space="preserve">ва установлено, что 29 октября 2018 года на основании заявления ответчика между истцом ПАО «Сбербанк России» и ответчиком Гурбановым Р.М.о. в был заключен кредитный договор № 93390566 на предоставление потребительского кредита в размере </w:t>
      </w:r>
      <w:r>
        <w:rPr>
          <w:rStyle w:val="cat-Sumgrp-14rplc-19"/>
          <w:lang w:val="en-BE" w:eastAsia="en-BE" w:bidi="ar-SA"/>
        </w:rPr>
        <w:t>сумма</w:t>
      </w:r>
    </w:p>
    <w:p w14:paraId="76B024A3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</w:t>
      </w:r>
      <w:r>
        <w:rPr>
          <w:lang w:val="en-BE" w:eastAsia="en-BE" w:bidi="ar-SA"/>
        </w:rPr>
        <w:t>ства по кредитному договору перечислены истцом ответчику, что подтверждается выпиской по лицевому счету.</w:t>
      </w:r>
    </w:p>
    <w:p w14:paraId="5E7A79A0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выдан на срок 72 месяца под 15,90 % годовых.</w:t>
      </w:r>
    </w:p>
    <w:p w14:paraId="1B98C512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</w:t>
      </w:r>
      <w:r>
        <w:rPr>
          <w:lang w:val="en-BE" w:eastAsia="en-BE" w:bidi="ar-SA"/>
        </w:rPr>
        <w:t xml:space="preserve">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пользование им в размере, в сроки и на условиях договора. </w:t>
      </w:r>
    </w:p>
    <w:p w14:paraId="4ECD0420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</w:t>
      </w:r>
      <w:r>
        <w:rPr>
          <w:lang w:val="en-BE" w:eastAsia="en-BE" w:bidi="ar-SA"/>
        </w:rPr>
        <w:t>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подтверждается расчетом.</w:t>
      </w:r>
    </w:p>
    <w:p w14:paraId="2A242F7F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</w:t>
      </w:r>
      <w:r>
        <w:rPr>
          <w:lang w:val="en-BE" w:eastAsia="en-BE" w:bidi="ar-SA"/>
        </w:rPr>
        <w:t>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просрочки с даты, следующей за датой наступления исполнения обязательства, установленно</w:t>
      </w:r>
      <w:r>
        <w:rPr>
          <w:lang w:val="en-BE" w:eastAsia="en-BE" w:bidi="ar-SA"/>
        </w:rPr>
        <w:t>й договором, по дату погашения просроченной задолженности по договору (включительно).</w:t>
      </w:r>
    </w:p>
    <w:p w14:paraId="493ED5E1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подтверждающий, что в течение срока действия договора ответчик неоднократно нарушал условия договора в части сроков </w:t>
      </w:r>
      <w:r>
        <w:rPr>
          <w:lang w:val="en-BE" w:eastAsia="en-BE" w:bidi="ar-SA"/>
        </w:rPr>
        <w:t xml:space="preserve">и сумм ежемесячных платежей, в связи с чем образовалась просроченная задолженность по кредиту. </w:t>
      </w:r>
    </w:p>
    <w:p w14:paraId="0AA0022A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ПАО «Сбербанк России» по состоянию на 06 октября 2021 года задолженность ответчика составляет </w:t>
      </w:r>
      <w:r>
        <w:rPr>
          <w:rStyle w:val="cat-Sumgrp-15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lastRenderedPageBreak/>
        <w:t xml:space="preserve">проценты за пользование кредитом – </w:t>
      </w:r>
      <w:r>
        <w:rPr>
          <w:rStyle w:val="cat-Sumgrp-17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8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9rplc-27"/>
          <w:lang w:val="en-BE" w:eastAsia="en-BE" w:bidi="ar-SA"/>
        </w:rPr>
        <w:t>сумма</w:t>
      </w:r>
    </w:p>
    <w:p w14:paraId="377FCE8A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02 сентября 2021 года в порядке ст. 452 ГК РФ истцом ответчику было направлено письмо с требованием досрочно возвратить </w:t>
      </w:r>
      <w:r>
        <w:rPr>
          <w:lang w:val="en-BE" w:eastAsia="en-BE" w:bidi="ar-SA"/>
        </w:rPr>
        <w:t>всю сумму кредита. Данное требование ответчиком исполнено не было.</w:t>
      </w:r>
    </w:p>
    <w:p w14:paraId="3D235056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кредитный договор, истцом предоставлены ответчику денежные средства по договору, ответчиком нарушались сущ</w:t>
      </w:r>
      <w:r>
        <w:rPr>
          <w:lang w:val="en-BE" w:eastAsia="en-BE" w:bidi="ar-SA"/>
        </w:rPr>
        <w:t xml:space="preserve">ественные условия договора, касающиеся размера и сроков погашения выданного кредита, данное обстоятельство является основанием для расторжения кредитного договора, заключенного между сторонами, и взыскания с ответчика в пользу истца ссудной задолженности, </w:t>
      </w:r>
      <w:r>
        <w:rPr>
          <w:lang w:val="en-BE" w:eastAsia="en-BE" w:bidi="ar-SA"/>
        </w:rPr>
        <w:t>процентов за пользование кредитом и неустойки как способа обеспечения исполнения обязательства.</w:t>
      </w:r>
    </w:p>
    <w:p w14:paraId="0ECDC2AB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</w:t>
      </w:r>
      <w:r>
        <w:rPr>
          <w:lang w:val="en-BE" w:eastAsia="en-BE" w:bidi="ar-SA"/>
        </w:rPr>
        <w:t>сли иное не предусмотрено федеральным законом.</w:t>
      </w:r>
    </w:p>
    <w:p w14:paraId="06B1E248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</w:t>
      </w:r>
      <w:r>
        <w:rPr>
          <w:lang w:val="en-BE" w:eastAsia="en-BE" w:bidi="ar-SA"/>
        </w:rPr>
        <w:t xml:space="preserve">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7142948F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</w:t>
      </w:r>
      <w:r>
        <w:rPr>
          <w:lang w:val="en-BE" w:eastAsia="en-BE" w:bidi="ar-SA"/>
        </w:rPr>
        <w:t xml:space="preserve">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</w:t>
      </w:r>
      <w:r>
        <w:rPr>
          <w:lang w:val="en-BE" w:eastAsia="en-BE" w:bidi="ar-SA"/>
        </w:rPr>
        <w:t>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 предоставленных по кредитному договору денежных средств с последствиями нарушенных заемщиком обяза</w:t>
      </w:r>
      <w:r>
        <w:rPr>
          <w:lang w:val="en-BE" w:eastAsia="en-BE" w:bidi="ar-SA"/>
        </w:rPr>
        <w:t xml:space="preserve">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</w:t>
      </w:r>
      <w:r>
        <w:rPr>
          <w:lang w:val="en-BE" w:eastAsia="en-BE" w:bidi="ar-SA"/>
        </w:rPr>
        <w:t xml:space="preserve">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за просроченный основной долг до </w:t>
      </w:r>
      <w:r>
        <w:rPr>
          <w:rStyle w:val="cat-Sumgrp-20rplc-28"/>
          <w:lang w:val="en-BE" w:eastAsia="en-BE" w:bidi="ar-SA"/>
        </w:rPr>
        <w:t>сумма</w:t>
      </w:r>
      <w:r>
        <w:rPr>
          <w:lang w:val="en-BE" w:eastAsia="en-BE" w:bidi="ar-SA"/>
        </w:rPr>
        <w:t>, неустойки за просроченные процен</w:t>
      </w:r>
      <w:r>
        <w:rPr>
          <w:lang w:val="en-BE" w:eastAsia="en-BE" w:bidi="ar-SA"/>
        </w:rPr>
        <w:t xml:space="preserve">ты – до </w:t>
      </w:r>
      <w:r>
        <w:rPr>
          <w:rStyle w:val="cat-Sumgrp-21rplc-29"/>
          <w:lang w:val="en-BE" w:eastAsia="en-BE" w:bidi="ar-SA"/>
        </w:rPr>
        <w:t>сумма</w:t>
      </w:r>
    </w:p>
    <w:p w14:paraId="224A18D4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ответчику о расторжении кредитного договора, взыскании задолженности по кредитному д</w:t>
      </w:r>
      <w:r>
        <w:rPr>
          <w:lang w:val="en-BE" w:eastAsia="en-BE" w:bidi="ar-SA"/>
        </w:rPr>
        <w:t xml:space="preserve">оговору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пользу истца сумму задолженности в размере </w:t>
      </w:r>
      <w:r>
        <w:rPr>
          <w:rStyle w:val="cat-Sumgrp-22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>, п</w:t>
      </w:r>
      <w:r>
        <w:rPr>
          <w:lang w:val="en-BE" w:eastAsia="en-BE" w:bidi="ar-SA"/>
        </w:rPr>
        <w:t xml:space="preserve">роценты за пользование кредитом – </w:t>
      </w:r>
      <w:r>
        <w:rPr>
          <w:rStyle w:val="cat-Sumgrp-17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20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1rplc-34"/>
          <w:lang w:val="en-BE" w:eastAsia="en-BE" w:bidi="ar-SA"/>
        </w:rPr>
        <w:t>сумма</w:t>
      </w:r>
    </w:p>
    <w:p w14:paraId="0FA73FA1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Верховного Суда РФ от 21 января</w:t>
      </w:r>
      <w:r>
        <w:rPr>
          <w:lang w:val="en-BE" w:eastAsia="en-BE" w:bidi="ar-SA"/>
        </w:rPr>
        <w:t xml:space="preserve">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</w:t>
      </w:r>
      <w:r>
        <w:rPr>
          <w:lang w:val="en-BE" w:eastAsia="en-BE" w:bidi="ar-SA"/>
        </w:rPr>
        <w:lastRenderedPageBreak/>
        <w:t>пропорциональном возмещении (распределении) судебных издерж</w:t>
      </w:r>
      <w:r>
        <w:rPr>
          <w:lang w:val="en-BE" w:eastAsia="en-BE" w:bidi="ar-SA"/>
        </w:rPr>
        <w:t>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взысканию п</w:t>
      </w:r>
      <w:r>
        <w:rPr>
          <w:lang w:val="en-BE" w:eastAsia="en-BE" w:bidi="ar-SA"/>
        </w:rPr>
        <w:t xml:space="preserve">онесенные истцом расходы на уплату государственной пошлины в размере </w:t>
      </w:r>
      <w:r>
        <w:rPr>
          <w:rStyle w:val="cat-Sumgrp-23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5rplc-37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1E40C953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367833B8" w14:textId="77777777" w:rsidR="00000000" w:rsidRDefault="006A4D41">
      <w:pPr>
        <w:jc w:val="center"/>
        <w:rPr>
          <w:lang w:val="en-BE" w:eastAsia="en-BE" w:bidi="ar-SA"/>
        </w:rPr>
      </w:pPr>
    </w:p>
    <w:p w14:paraId="3C64E705" w14:textId="77777777" w:rsidR="00000000" w:rsidRDefault="006A4D4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5FF881B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37152CC1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</w:t>
      </w:r>
      <w:r>
        <w:rPr>
          <w:lang w:val="en-BE" w:eastAsia="en-BE" w:bidi="ar-SA"/>
        </w:rPr>
        <w:t xml:space="preserve">анка Сбербанка России ПАО к Гурбанову </w:t>
      </w:r>
      <w:r>
        <w:rPr>
          <w:rStyle w:val="cat-FIOgrp-7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 удовлетворить частично.</w:t>
      </w:r>
    </w:p>
    <w:p w14:paraId="4262C3C0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от 29 октября 2018 года № 93390566, заключенный между Гурбановым </w:t>
      </w:r>
      <w:r>
        <w:rPr>
          <w:rStyle w:val="cat-FIOgrp-7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ПАО «Сб</w:t>
      </w:r>
      <w:r>
        <w:rPr>
          <w:lang w:val="en-BE" w:eastAsia="en-BE" w:bidi="ar-SA"/>
        </w:rPr>
        <w:t>ербанк России».</w:t>
      </w:r>
    </w:p>
    <w:p w14:paraId="61FC7C35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Гурбанова </w:t>
      </w:r>
      <w:r>
        <w:rPr>
          <w:rStyle w:val="cat-FIOgrp-8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– Московского банка Сбербанка России ПАО задолженность по кредитному договору от 29 октября 2018 года № 93390566 в размере </w:t>
      </w:r>
      <w:r>
        <w:rPr>
          <w:rStyle w:val="cat-Sumgrp-12rplc-41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государственной пошли</w:t>
      </w:r>
      <w:r>
        <w:rPr>
          <w:lang w:val="en-BE" w:eastAsia="en-BE" w:bidi="ar-SA"/>
        </w:rPr>
        <w:t xml:space="preserve">ны в размере </w:t>
      </w:r>
      <w:r>
        <w:rPr>
          <w:rStyle w:val="cat-Sumgrp-13rplc-42"/>
          <w:lang w:val="en-BE" w:eastAsia="en-BE" w:bidi="ar-SA"/>
        </w:rPr>
        <w:t>сумма</w:t>
      </w:r>
    </w:p>
    <w:p w14:paraId="2E35E6D4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64E52A3B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69203C2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6AA6F9A6" w14:textId="77777777" w:rsidR="00000000" w:rsidRDefault="006A4D41">
      <w:pPr>
        <w:ind w:firstLine="709"/>
        <w:jc w:val="both"/>
        <w:rPr>
          <w:lang w:val="en-BE" w:eastAsia="en-BE" w:bidi="ar-SA"/>
        </w:rPr>
      </w:pPr>
    </w:p>
    <w:p w14:paraId="22C43CC8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rStyle w:val="cat-FIOgrp-11rplc-44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5D5C9893" w14:textId="77777777" w:rsidR="00000000" w:rsidRDefault="006A4D41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44562A06" w14:textId="77777777" w:rsidR="00000000" w:rsidRDefault="006A4D41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3897143A" w14:textId="77777777" w:rsidR="00000000" w:rsidRDefault="006A4D41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16EFCC11" w14:textId="77777777" w:rsidR="00000000" w:rsidRDefault="006A4D4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11 апреля 2022 года.</w:t>
      </w:r>
    </w:p>
    <w:p w14:paraId="0874573C" w14:textId="77777777" w:rsidR="00000000" w:rsidRDefault="006A4D41">
      <w:pPr>
        <w:ind w:firstLine="709"/>
        <w:jc w:val="right"/>
        <w:rPr>
          <w:lang w:val="en-BE" w:eastAsia="en-BE" w:bidi="ar-SA"/>
        </w:rPr>
      </w:pPr>
    </w:p>
    <w:p w14:paraId="72434EF8" w14:textId="77777777" w:rsidR="00000000" w:rsidRDefault="006A4D41">
      <w:pPr>
        <w:ind w:firstLine="709"/>
        <w:rPr>
          <w:lang w:val="en-BE" w:eastAsia="en-BE" w:bidi="ar-SA"/>
        </w:rPr>
      </w:pPr>
      <w:r>
        <w:rPr>
          <w:rStyle w:val="cat-FIOgrp-11rplc-4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1B396673" w14:textId="77777777" w:rsidR="00000000" w:rsidRDefault="006A4D41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90F61" w14:textId="77777777" w:rsidR="00000000" w:rsidRDefault="006A4D41">
      <w:r>
        <w:separator/>
      </w:r>
    </w:p>
  </w:endnote>
  <w:endnote w:type="continuationSeparator" w:id="0">
    <w:p w14:paraId="74489D7A" w14:textId="77777777" w:rsidR="00000000" w:rsidRDefault="006A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93550" w14:textId="77777777" w:rsidR="00000000" w:rsidRDefault="006A4D41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EEEFD99" w14:textId="77777777" w:rsidR="00000000" w:rsidRDefault="006A4D41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C020D" w14:textId="77777777" w:rsidR="00000000" w:rsidRDefault="006A4D41">
      <w:r>
        <w:separator/>
      </w:r>
    </w:p>
  </w:footnote>
  <w:footnote w:type="continuationSeparator" w:id="0">
    <w:p w14:paraId="03E0DAEA" w14:textId="77777777" w:rsidR="00000000" w:rsidRDefault="006A4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4D41"/>
    <w:rsid w:val="006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443E2A9"/>
  <w15:chartTrackingRefBased/>
  <w15:docId w15:val="{CC714343-8AF8-40C1-BC69-B278965A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FIOgrp-7rplc-4">
    <w:name w:val="cat-FIO grp-7 rplc-4"/>
    <w:basedOn w:val="a0"/>
  </w:style>
  <w:style w:type="character" w:customStyle="1" w:styleId="cat-FIOgrp-7rplc-5">
    <w:name w:val="cat-FIO grp-7 rplc-5"/>
    <w:basedOn w:val="a0"/>
  </w:style>
  <w:style w:type="character" w:customStyle="1" w:styleId="cat-FIOgrp-7rplc-6">
    <w:name w:val="cat-FIO grp-7 rplc-6"/>
    <w:basedOn w:val="a0"/>
  </w:style>
  <w:style w:type="character" w:customStyle="1" w:styleId="cat-FIOgrp-8rplc-7">
    <w:name w:val="cat-FIO grp-8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FIOgrp-7rplc-16">
    <w:name w:val="cat-FIO grp-7 rplc-16"/>
    <w:basedOn w:val="a0"/>
  </w:style>
  <w:style w:type="character" w:customStyle="1" w:styleId="cat-FIOgrp-9rplc-17">
    <w:name w:val="cat-FIO grp-9 rplc-17"/>
    <w:basedOn w:val="a0"/>
  </w:style>
  <w:style w:type="character" w:customStyle="1" w:styleId="cat-Sumgrp-14rplc-19">
    <w:name w:val="cat-Sum grp-14 rplc-19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Addressgrp-4rplc-22">
    <w:name w:val="cat-Address grp-4 rplc-22"/>
    <w:basedOn w:val="a0"/>
  </w:style>
  <w:style w:type="character" w:customStyle="1" w:styleId="cat-Sumgrp-15rplc-23">
    <w:name w:val="cat-Sum grp-15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Sumgrp-19rplc-27">
    <w:name w:val="cat-Sum grp-19 rplc-27"/>
    <w:basedOn w:val="a0"/>
  </w:style>
  <w:style w:type="character" w:customStyle="1" w:styleId="cat-Sumgrp-20rplc-28">
    <w:name w:val="cat-Sum grp-20 rplc-28"/>
    <w:basedOn w:val="a0"/>
  </w:style>
  <w:style w:type="character" w:customStyle="1" w:styleId="cat-Sumgrp-21rplc-29">
    <w:name w:val="cat-Sum grp-21 rplc-29"/>
    <w:basedOn w:val="a0"/>
  </w:style>
  <w:style w:type="character" w:customStyle="1" w:styleId="cat-Sumgrp-22rplc-30">
    <w:name w:val="cat-Sum grp-22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Sumgrp-21rplc-34">
    <w:name w:val="cat-Sum grp-21 rplc-34"/>
    <w:basedOn w:val="a0"/>
  </w:style>
  <w:style w:type="character" w:customStyle="1" w:styleId="cat-Sumgrp-23rplc-35">
    <w:name w:val="cat-Sum grp-23 rplc-35"/>
    <w:basedOn w:val="a0"/>
  </w:style>
  <w:style w:type="character" w:customStyle="1" w:styleId="cat-Sumgrp-24rplc-36">
    <w:name w:val="cat-Sum grp-24 rplc-36"/>
    <w:basedOn w:val="a0"/>
  </w:style>
  <w:style w:type="character" w:customStyle="1" w:styleId="cat-Sumgrp-25rplc-37">
    <w:name w:val="cat-Sum grp-25 rplc-37"/>
    <w:basedOn w:val="a0"/>
  </w:style>
  <w:style w:type="character" w:customStyle="1" w:styleId="cat-FIOgrp-7rplc-38">
    <w:name w:val="cat-FIO grp-7 rplc-38"/>
    <w:basedOn w:val="a0"/>
  </w:style>
  <w:style w:type="character" w:customStyle="1" w:styleId="cat-FIOgrp-7rplc-39">
    <w:name w:val="cat-FIO grp-7 rplc-39"/>
    <w:basedOn w:val="a0"/>
  </w:style>
  <w:style w:type="character" w:customStyle="1" w:styleId="cat-FIOgrp-8rplc-40">
    <w:name w:val="cat-FIO grp-8 rplc-40"/>
    <w:basedOn w:val="a0"/>
  </w:style>
  <w:style w:type="character" w:customStyle="1" w:styleId="cat-Sumgrp-12rplc-41">
    <w:name w:val="cat-Sum grp-12 rplc-41"/>
    <w:basedOn w:val="a0"/>
  </w:style>
  <w:style w:type="character" w:customStyle="1" w:styleId="cat-Sumgrp-13rplc-42">
    <w:name w:val="cat-Sum grp-13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FIOgrp-11rplc-44">
    <w:name w:val="cat-FIO grp-11 rplc-44"/>
    <w:basedOn w:val="a0"/>
  </w:style>
  <w:style w:type="character" w:customStyle="1" w:styleId="cat-FIOgrp-11rplc-45">
    <w:name w:val="cat-FIO grp-11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1849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