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B5152B" w14:textId="77777777" w:rsidR="00000000" w:rsidRDefault="000015D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BF9D34A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A2B67FF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3E415843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6BE3C5C6" w14:textId="77777777" w:rsidR="00000000" w:rsidRDefault="000015D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1C27290E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255EB5C2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D6FABBE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001C70D1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E20BEC4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2-1648/2</w:t>
      </w:r>
      <w:r>
        <w:rPr>
          <w:lang w:val="en-BE" w:eastAsia="en-BE" w:bidi="ar-SA"/>
        </w:rPr>
        <w:t>022 (УИД 77RS0014-02-2022-001762-49) по иску ПАО «Сбербанк России» в лице филиала – Московского банка Сбербанка России ПАО к Бондаревой Ольге Сергеевне о взыскании задолженности по кредитному договору, руководствуясь ст. 199 ГПК РФ,</w:t>
      </w:r>
    </w:p>
    <w:p w14:paraId="294351ED" w14:textId="77777777" w:rsidR="00000000" w:rsidRDefault="000015DB">
      <w:pPr>
        <w:jc w:val="both"/>
        <w:rPr>
          <w:lang w:val="en-BE" w:eastAsia="en-BE" w:bidi="ar-SA"/>
        </w:rPr>
      </w:pPr>
    </w:p>
    <w:p w14:paraId="16AAC878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0D94F21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1BBD6CEC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</w:t>
      </w:r>
      <w:r>
        <w:rPr>
          <w:lang w:val="en-BE" w:eastAsia="en-BE" w:bidi="ar-SA"/>
        </w:rPr>
        <w:t>ания ПАО «Сбербанк России» в лице филиала – Московского банка Сбербанка России ПАО к Бондаревой Ольге Сергеевне о взыскании задолженности по кредитному договору удовлетворить частично.</w:t>
      </w:r>
    </w:p>
    <w:p w14:paraId="4D085B99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Бондаревой Ольги Сергеевны в пользу ПАО «Сбербанк России» в </w:t>
      </w:r>
      <w:r>
        <w:rPr>
          <w:lang w:val="en-BE" w:eastAsia="en-BE" w:bidi="ar-SA"/>
        </w:rPr>
        <w:t xml:space="preserve">лице филиала – Московского банка Сбербанка России ПАО задолженность по кредитному договору от 04 октября 2013 года № 0910-Р-1664425250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54AEC975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</w:t>
      </w:r>
      <w:r>
        <w:rPr>
          <w:lang w:val="en-BE" w:eastAsia="en-BE" w:bidi="ar-SA"/>
        </w:rPr>
        <w:t>ваний отказать.</w:t>
      </w:r>
    </w:p>
    <w:p w14:paraId="50737547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8671495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258D98A2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4425461C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4FF700B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367A47F7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0C278CC6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64504AB0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774E3C11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0F635B3B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71AF8E11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76EA25BF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0FB70F18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7CCAC52F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09FBA87E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167BAC8A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2196D78B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32D7A5D2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16013738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47B00F39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4844DA2B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14728302" w14:textId="77777777" w:rsidR="00000000" w:rsidRDefault="000015DB">
      <w:pPr>
        <w:jc w:val="center"/>
        <w:rPr>
          <w:lang w:val="en-BE" w:eastAsia="en-BE" w:bidi="ar-SA"/>
        </w:rPr>
      </w:pPr>
    </w:p>
    <w:p w14:paraId="08189FF9" w14:textId="77777777" w:rsidR="00000000" w:rsidRDefault="000015DB">
      <w:pPr>
        <w:jc w:val="center"/>
        <w:rPr>
          <w:lang w:val="en-BE" w:eastAsia="en-BE" w:bidi="ar-SA"/>
        </w:rPr>
      </w:pPr>
    </w:p>
    <w:p w14:paraId="33BDC86F" w14:textId="77777777" w:rsidR="00000000" w:rsidRDefault="000015DB">
      <w:pPr>
        <w:jc w:val="center"/>
        <w:rPr>
          <w:lang w:val="en-BE" w:eastAsia="en-BE" w:bidi="ar-SA"/>
        </w:rPr>
      </w:pPr>
    </w:p>
    <w:p w14:paraId="12BF0DEA" w14:textId="77777777" w:rsidR="00000000" w:rsidRDefault="000015DB">
      <w:pPr>
        <w:jc w:val="center"/>
        <w:rPr>
          <w:lang w:val="en-BE" w:eastAsia="en-BE" w:bidi="ar-SA"/>
        </w:rPr>
      </w:pPr>
    </w:p>
    <w:p w14:paraId="46857757" w14:textId="77777777" w:rsidR="00000000" w:rsidRDefault="000015DB">
      <w:pPr>
        <w:jc w:val="center"/>
        <w:rPr>
          <w:lang w:val="en-BE" w:eastAsia="en-BE" w:bidi="ar-SA"/>
        </w:rPr>
      </w:pPr>
    </w:p>
    <w:p w14:paraId="09401A54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B3EB432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</w:t>
      </w:r>
      <w:r>
        <w:rPr>
          <w:b/>
          <w:bCs/>
          <w:lang w:val="en-BE" w:eastAsia="en-BE" w:bidi="ar-SA"/>
        </w:rPr>
        <w:t>рации</w:t>
      </w:r>
    </w:p>
    <w:p w14:paraId="2F93DE66" w14:textId="77777777" w:rsidR="00000000" w:rsidRDefault="000015DB">
      <w:pPr>
        <w:jc w:val="both"/>
        <w:rPr>
          <w:lang w:val="en-BE" w:eastAsia="en-BE" w:bidi="ar-SA"/>
        </w:rPr>
      </w:pPr>
    </w:p>
    <w:p w14:paraId="56C7A8D3" w14:textId="77777777" w:rsidR="00000000" w:rsidRDefault="000015D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44A48237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76245078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A2FF949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4D7B62B9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187410E" w14:textId="77777777" w:rsidR="00000000" w:rsidRDefault="000015D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2-1648/2022 (УИД 77RS0014-02-2022-00176</w:t>
      </w:r>
      <w:r>
        <w:rPr>
          <w:lang w:val="en-BE" w:eastAsia="en-BE" w:bidi="ar-SA"/>
        </w:rPr>
        <w:t xml:space="preserve">2-49) по иску ПАО «Сбербанк России» в лице филиала – Московского банка Сбербанка России ПАО к Бондаревой Ольге Сергеевне о взыскании задолженности по кредитному договору, </w:t>
      </w:r>
    </w:p>
    <w:p w14:paraId="0CD77481" w14:textId="77777777" w:rsidR="00000000" w:rsidRDefault="000015DB">
      <w:pPr>
        <w:jc w:val="center"/>
        <w:rPr>
          <w:lang w:val="en-BE" w:eastAsia="en-BE" w:bidi="ar-SA"/>
        </w:rPr>
      </w:pPr>
    </w:p>
    <w:p w14:paraId="409D381A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A7E22F9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04108905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</w:t>
      </w:r>
      <w:r>
        <w:rPr>
          <w:lang w:val="en-BE" w:eastAsia="en-BE" w:bidi="ar-SA"/>
        </w:rPr>
        <w:t>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</w:t>
      </w:r>
      <w:r>
        <w:rPr>
          <w:lang w:val="en-BE" w:eastAsia="en-BE" w:bidi="ar-SA"/>
        </w:rPr>
        <w:t xml:space="preserve">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</w:t>
      </w:r>
      <w:r>
        <w:rPr>
          <w:lang w:val="en-BE" w:eastAsia="en-BE" w:bidi="ar-SA"/>
        </w:rPr>
        <w:t>всей суммы задолженности, однако данное требование ответчиком исполнено не было.</w:t>
      </w:r>
    </w:p>
    <w:p w14:paraId="09654123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0C8097A9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C46EDDC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Бондарева О.С.</w:t>
      </w:r>
      <w:r>
        <w:rPr>
          <w:lang w:val="en-BE" w:eastAsia="en-BE" w:bidi="ar-SA"/>
        </w:rPr>
        <w:t xml:space="preserve">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</w:t>
      </w:r>
      <w:r>
        <w:rPr>
          <w:lang w:val="en-BE" w:eastAsia="en-BE" w:bidi="ar-SA"/>
        </w:rPr>
        <w:t>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</w:t>
      </w:r>
      <w:r>
        <w:rPr>
          <w:lang w:val="en-BE" w:eastAsia="en-BE" w:bidi="ar-SA"/>
        </w:rPr>
        <w:t>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</w:t>
      </w:r>
      <w:r>
        <w:rPr>
          <w:lang w:val="en-BE" w:eastAsia="en-BE" w:bidi="ar-SA"/>
        </w:rPr>
        <w:t>орых положений раздела I части первой Гражданского кодекса Российской Федерации»).</w:t>
      </w:r>
    </w:p>
    <w:p w14:paraId="081FE4FF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4AA0B678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</w:t>
      </w:r>
      <w:r>
        <w:rPr>
          <w:lang w:val="en-BE" w:eastAsia="en-BE" w:bidi="ar-SA"/>
        </w:rPr>
        <w:t>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1284FD67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12FA09CC" w14:textId="77777777" w:rsidR="00000000" w:rsidRDefault="000015DB">
      <w:pPr>
        <w:ind w:firstLine="737"/>
        <w:jc w:val="both"/>
        <w:rPr>
          <w:lang w:val="en-BE" w:eastAsia="en-BE" w:bidi="ar-SA"/>
        </w:rPr>
      </w:pPr>
    </w:p>
    <w:p w14:paraId="1D56A57D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</w:t>
      </w:r>
      <w:r>
        <w:rPr>
          <w:lang w:val="en-BE" w:eastAsia="en-BE" w:bidi="ar-SA"/>
        </w:rPr>
        <w:t>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20175FBD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</w:t>
      </w:r>
      <w:r>
        <w:rPr>
          <w:lang w:val="en-BE" w:eastAsia="en-BE" w:bidi="ar-SA"/>
        </w:rPr>
        <w:t>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3BC09965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п. 1 ст. 329 ГК РФ, исполнение обязательств </w:t>
      </w:r>
      <w:r>
        <w:rPr>
          <w:lang w:val="en-BE" w:eastAsia="en-BE" w:bidi="ar-SA"/>
        </w:rPr>
        <w:t>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66C99952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04 октября 2013 года на </w:t>
      </w:r>
      <w:r>
        <w:rPr>
          <w:lang w:val="en-BE" w:eastAsia="en-BE" w:bidi="ar-SA"/>
        </w:rPr>
        <w:t xml:space="preserve">основании заявления Бондаревой О.С. на получение кредитной банковской карты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подписаны Индивидуальные условия выпуска и обслуживания кредитной карты в которых согласованы основные усло</w:t>
      </w:r>
      <w:r>
        <w:rPr>
          <w:lang w:val="en-BE" w:eastAsia="en-BE" w:bidi="ar-SA"/>
        </w:rPr>
        <w:t xml:space="preserve">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18,90 %, срок действия договора согласован сторона в п. 2 индивидуальных условий выпуска и обслуживания кредитной карты. Данная форма подписана ответчиком 04 октября 2013 года.</w:t>
      </w:r>
    </w:p>
    <w:p w14:paraId="5F0BD2A0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</w:t>
      </w:r>
      <w:r>
        <w:rPr>
          <w:lang w:val="en-BE" w:eastAsia="en-BE" w:bidi="ar-SA"/>
        </w:rPr>
        <w:t>тцом открыт счет, выдана банковская карта на имя Бондаревой О.С.</w:t>
      </w:r>
    </w:p>
    <w:p w14:paraId="639C3D48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0910-Р-1664425250.</w:t>
      </w:r>
    </w:p>
    <w:p w14:paraId="7BE7E857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 банковской карте были предоставлены ссуды, что подтверждается отчетом по кредит</w:t>
      </w:r>
      <w:r>
        <w:rPr>
          <w:lang w:val="en-BE" w:eastAsia="en-BE" w:bidi="ar-SA"/>
        </w:rPr>
        <w:t xml:space="preserve">ной карте. </w:t>
      </w:r>
    </w:p>
    <w:p w14:paraId="0AC9551C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</w:t>
      </w:r>
      <w:r>
        <w:rPr>
          <w:lang w:val="en-BE" w:eastAsia="en-BE" w:bidi="ar-SA"/>
        </w:rPr>
        <w:t>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</w:t>
      </w:r>
      <w:r>
        <w:rPr>
          <w:lang w:val="en-BE" w:eastAsia="en-BE" w:bidi="ar-SA"/>
        </w:rPr>
        <w:t>исло календарных дней.</w:t>
      </w:r>
    </w:p>
    <w:p w14:paraId="68D2BE41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</w:t>
      </w:r>
      <w:r>
        <w:rPr>
          <w:lang w:val="en-BE" w:eastAsia="en-BE" w:bidi="ar-SA"/>
        </w:rPr>
        <w:t>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77D9AE75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</w:t>
      </w:r>
      <w:r>
        <w:rPr>
          <w:lang w:val="en-BE" w:eastAsia="en-BE" w:bidi="ar-SA"/>
        </w:rPr>
        <w:t xml:space="preserve">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7506BF74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</w:t>
      </w:r>
      <w:r>
        <w:rPr>
          <w:lang w:val="en-BE" w:eastAsia="en-BE" w:bidi="ar-SA"/>
        </w:rPr>
        <w:t xml:space="preserve">живания кредитной карты Сбербанка России держатель обязуется ежемесячно не позднее даты платежа вносить на счет </w:t>
      </w:r>
      <w:r>
        <w:rPr>
          <w:lang w:val="en-BE" w:eastAsia="en-BE" w:bidi="ar-SA"/>
        </w:rPr>
        <w:lastRenderedPageBreak/>
        <w:t>карты сумму обязательного платежа, в определяемым им порядке и сроках погашения задолженности.</w:t>
      </w:r>
    </w:p>
    <w:p w14:paraId="1EEBB636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</w:t>
      </w:r>
      <w:r>
        <w:rPr>
          <w:lang w:val="en-BE" w:eastAsia="en-BE" w:bidi="ar-SA"/>
        </w:rPr>
        <w:t>вания кредитной карты, за несвоевременное погашение обязательного платежа взимается неустойка в размере 38 % годовых.</w:t>
      </w:r>
    </w:p>
    <w:p w14:paraId="53B9ECD7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</w:t>
      </w:r>
      <w:r>
        <w:rPr>
          <w:lang w:val="en-BE" w:eastAsia="en-BE" w:bidi="ar-SA"/>
        </w:rPr>
        <w:t>тупный лимит кредита.</w:t>
      </w:r>
    </w:p>
    <w:p w14:paraId="1EBFC8ED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</w:t>
      </w:r>
      <w:r>
        <w:rPr>
          <w:lang w:val="en-BE" w:eastAsia="en-BE" w:bidi="ar-SA"/>
        </w:rPr>
        <w:t>сии с данным предложением, оно считается принятым клиентом и изменения вступают в силу.</w:t>
      </w:r>
    </w:p>
    <w:p w14:paraId="3E8BF740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</w:t>
      </w:r>
      <w:r>
        <w:rPr>
          <w:lang w:val="en-BE" w:eastAsia="en-BE" w:bidi="ar-SA"/>
        </w:rPr>
        <w:t xml:space="preserve">сроков и сумм ежемесячных платежей, в связи с чем образовалась просроченная задолженность по кредиту. </w:t>
      </w:r>
    </w:p>
    <w:p w14:paraId="1A993336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24 января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>, в том ч</w:t>
      </w:r>
      <w:r>
        <w:rPr>
          <w:lang w:val="en-BE" w:eastAsia="en-BE" w:bidi="ar-SA"/>
        </w:rPr>
        <w:t xml:space="preserve">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024E53BF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01 июня 2021 года в порядке ст. 452 ГК РФ истцом ответчику было направлено письмо с требованием досрочно возвратить всю сумму кредита. Данное требование ответч</w:t>
      </w:r>
      <w:r>
        <w:rPr>
          <w:lang w:val="en-BE" w:eastAsia="en-BE" w:bidi="ar-SA"/>
        </w:rPr>
        <w:t>иком исполнено не было.</w:t>
      </w:r>
    </w:p>
    <w:p w14:paraId="11EF718C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</w:t>
      </w:r>
      <w:r>
        <w:rPr>
          <w:lang w:val="en-BE" w:eastAsia="en-BE" w:bidi="ar-SA"/>
        </w:rPr>
        <w:t xml:space="preserve">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</w:t>
      </w:r>
      <w:r>
        <w:rPr>
          <w:lang w:val="en-BE" w:eastAsia="en-BE" w:bidi="ar-SA"/>
        </w:rPr>
        <w:t>способа обеспечения исполнения обязательства.</w:t>
      </w:r>
    </w:p>
    <w:p w14:paraId="29E3D351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42E9189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</w:t>
      </w:r>
      <w:r>
        <w:rPr>
          <w:lang w:val="en-BE" w:eastAsia="en-BE" w:bidi="ar-SA"/>
        </w:rPr>
        <w:t xml:space="preserve">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</w:t>
      </w:r>
      <w:r>
        <w:rPr>
          <w:lang w:val="en-BE" w:eastAsia="en-BE" w:bidi="ar-SA"/>
        </w:rPr>
        <w:t xml:space="preserve">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2991F6B5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</w:t>
      </w:r>
      <w:r>
        <w:rPr>
          <w:lang w:val="en-BE" w:eastAsia="en-BE" w:bidi="ar-SA"/>
        </w:rPr>
        <w:t>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FB25199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</w:t>
      </w:r>
      <w:r>
        <w:rPr>
          <w:lang w:val="en-BE" w:eastAsia="en-BE" w:bidi="ar-SA"/>
        </w:rPr>
        <w:t>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</w:t>
      </w:r>
      <w:r>
        <w:rPr>
          <w:lang w:val="en-BE" w:eastAsia="en-BE" w:bidi="ar-SA"/>
        </w:rPr>
        <w:t xml:space="preserve">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</w:t>
      </w:r>
      <w:r>
        <w:rPr>
          <w:lang w:val="en-BE" w:eastAsia="en-BE" w:bidi="ar-SA"/>
        </w:rPr>
        <w:lastRenderedPageBreak/>
        <w:t xml:space="preserve">предусмотренных в законе, которые </w:t>
      </w:r>
      <w:r>
        <w:rPr>
          <w:lang w:val="en-BE" w:eastAsia="en-BE" w:bidi="ar-SA"/>
        </w:rPr>
        <w:t>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</w:t>
      </w:r>
      <w:r>
        <w:rPr>
          <w:lang w:val="en-BE" w:eastAsia="en-BE" w:bidi="ar-SA"/>
        </w:rPr>
        <w:t xml:space="preserve">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</w:t>
      </w:r>
      <w:r>
        <w:rPr>
          <w:lang w:val="en-BE" w:eastAsia="en-BE" w:bidi="ar-SA"/>
        </w:rPr>
        <w:t>ущерба.</w:t>
      </w:r>
    </w:p>
    <w:p w14:paraId="56F13E3C" w14:textId="77777777" w:rsidR="00000000" w:rsidRDefault="000015DB">
      <w:pPr>
        <w:ind w:firstLine="737"/>
        <w:jc w:val="both"/>
        <w:rPr>
          <w:lang w:val="en-BE" w:eastAsia="en-BE" w:bidi="ar-SA"/>
        </w:rPr>
      </w:pPr>
    </w:p>
    <w:p w14:paraId="7FED73F6" w14:textId="77777777" w:rsidR="00000000" w:rsidRDefault="000015DB">
      <w:pPr>
        <w:ind w:firstLine="737"/>
        <w:jc w:val="both"/>
        <w:rPr>
          <w:lang w:val="en-BE" w:eastAsia="en-BE" w:bidi="ar-SA"/>
        </w:rPr>
      </w:pPr>
    </w:p>
    <w:p w14:paraId="5386A159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</w:t>
      </w:r>
      <w:r>
        <w:rPr>
          <w:lang w:val="en-BE" w:eastAsia="en-BE" w:bidi="ar-SA"/>
        </w:rPr>
        <w:t>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</w:t>
      </w:r>
      <w:r>
        <w:rPr>
          <w:lang w:val="en-BE" w:eastAsia="en-BE" w:bidi="ar-SA"/>
        </w:rPr>
        <w:t xml:space="preserve">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6EE8AC45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</w:t>
      </w:r>
      <w:r>
        <w:rPr>
          <w:lang w:val="en-BE" w:eastAsia="en-BE" w:bidi="ar-SA"/>
        </w:rPr>
        <w:t xml:space="preserve">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6F25C435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</w:t>
      </w:r>
      <w:r>
        <w:rPr>
          <w:lang w:val="en-BE" w:eastAsia="en-BE" w:bidi="ar-SA"/>
        </w:rPr>
        <w:t xml:space="preserve">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</w:t>
      </w:r>
      <w:r>
        <w:rPr>
          <w:lang w:val="en-BE" w:eastAsia="en-BE" w:bidi="ar-SA"/>
        </w:rPr>
        <w:t>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</w:t>
      </w:r>
      <w:r>
        <w:rPr>
          <w:lang w:val="en-BE" w:eastAsia="en-BE" w:bidi="ar-SA"/>
        </w:rPr>
        <w:t xml:space="preserve">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16E509E3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6BB8FAD7" w14:textId="77777777" w:rsidR="00000000" w:rsidRDefault="000015DB">
      <w:pPr>
        <w:jc w:val="center"/>
        <w:rPr>
          <w:lang w:val="en-BE" w:eastAsia="en-BE" w:bidi="ar-SA"/>
        </w:rPr>
      </w:pPr>
    </w:p>
    <w:p w14:paraId="327BFED8" w14:textId="77777777" w:rsidR="00000000" w:rsidRDefault="000015D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9EC7E4E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60B66E5F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Бондаревой Ольге Сергеевне о взыскании задолженности по кредитному договору удовлетворить частично.</w:t>
      </w:r>
    </w:p>
    <w:p w14:paraId="51B50BE7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Бондаревой Ольги Сергеевны в пользу ПАО «Сбе</w:t>
      </w:r>
      <w:r>
        <w:rPr>
          <w:lang w:val="en-BE" w:eastAsia="en-BE" w:bidi="ar-SA"/>
        </w:rPr>
        <w:t xml:space="preserve">рбанк России» в лице филиала – Московского банка Сбербанка России ПАО задолженность по кредитному договору от 04 октября 2013 года № 0910-Р-1664425250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29966B25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</w:t>
      </w:r>
      <w:r>
        <w:rPr>
          <w:lang w:val="en-BE" w:eastAsia="en-BE" w:bidi="ar-SA"/>
        </w:rPr>
        <w:t>ти исковых требований отказать.</w:t>
      </w:r>
    </w:p>
    <w:p w14:paraId="0A993633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2C0E824" w14:textId="77777777" w:rsidR="00000000" w:rsidRDefault="000015DB">
      <w:pPr>
        <w:ind w:firstLine="709"/>
        <w:jc w:val="both"/>
        <w:rPr>
          <w:lang w:val="en-BE" w:eastAsia="en-BE" w:bidi="ar-SA"/>
        </w:rPr>
      </w:pPr>
    </w:p>
    <w:p w14:paraId="2D968DF6" w14:textId="77777777" w:rsidR="00000000" w:rsidRDefault="000015DB">
      <w:pPr>
        <w:jc w:val="both"/>
        <w:rPr>
          <w:lang w:val="en-BE" w:eastAsia="en-BE" w:bidi="ar-SA"/>
        </w:rPr>
      </w:pPr>
    </w:p>
    <w:p w14:paraId="03D0EAE4" w14:textId="77777777" w:rsidR="00000000" w:rsidRDefault="000015DB">
      <w:pPr>
        <w:jc w:val="both"/>
        <w:rPr>
          <w:lang w:val="en-BE" w:eastAsia="en-BE" w:bidi="ar-SA"/>
        </w:rPr>
      </w:pPr>
    </w:p>
    <w:p w14:paraId="00CFDC1D" w14:textId="77777777" w:rsidR="00000000" w:rsidRDefault="000015DB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413BE940" w14:textId="77777777" w:rsidR="00000000" w:rsidRDefault="000015DB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270163E" w14:textId="77777777" w:rsidR="00000000" w:rsidRDefault="000015D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11120D3C" w14:textId="77777777" w:rsidR="00000000" w:rsidRDefault="000015D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C927FEC" w14:textId="77777777" w:rsidR="00000000" w:rsidRDefault="000015D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</w:t>
      </w:r>
      <w:r>
        <w:rPr>
          <w:lang w:val="en-BE" w:eastAsia="en-BE" w:bidi="ar-SA"/>
        </w:rPr>
        <w:t>авлено 11 апреля 2022 года.</w:t>
      </w:r>
    </w:p>
    <w:p w14:paraId="1B428BBB" w14:textId="77777777" w:rsidR="00000000" w:rsidRDefault="000015DB">
      <w:pPr>
        <w:ind w:firstLine="737"/>
        <w:jc w:val="right"/>
        <w:rPr>
          <w:lang w:val="en-BE" w:eastAsia="en-BE" w:bidi="ar-SA"/>
        </w:rPr>
      </w:pPr>
    </w:p>
    <w:p w14:paraId="62F7364F" w14:textId="77777777" w:rsidR="00000000" w:rsidRDefault="000015DB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40EB6970" w14:textId="77777777" w:rsidR="00000000" w:rsidRDefault="000015DB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B60C" w14:textId="77777777" w:rsidR="00000000" w:rsidRDefault="000015DB">
      <w:r>
        <w:separator/>
      </w:r>
    </w:p>
  </w:endnote>
  <w:endnote w:type="continuationSeparator" w:id="0">
    <w:p w14:paraId="6FC20452" w14:textId="77777777" w:rsidR="00000000" w:rsidRDefault="0000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AB41" w14:textId="77777777" w:rsidR="00000000" w:rsidRDefault="000015DB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6779CC2" w14:textId="77777777" w:rsidR="00000000" w:rsidRDefault="000015DB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8C761" w14:textId="77777777" w:rsidR="00000000" w:rsidRDefault="000015DB">
      <w:r>
        <w:separator/>
      </w:r>
    </w:p>
  </w:footnote>
  <w:footnote w:type="continuationSeparator" w:id="0">
    <w:p w14:paraId="43E40D17" w14:textId="77777777" w:rsidR="00000000" w:rsidRDefault="00001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5DB"/>
    <w:rsid w:val="0000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3BA76F6"/>
  <w15:chartTrackingRefBased/>
  <w15:docId w15:val="{A8427E90-2496-40DF-9A40-B998362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2109</Words>
  <Characters>12024</Characters>
  <Application>Microsoft Office Word</Application>
  <DocSecurity>0</DocSecurity>
  <Lines>100</Lines>
  <Paragraphs>28</Paragraphs>
  <ScaleCrop>false</ScaleCrop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