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186F81" w14:textId="77777777" w:rsidR="00000000" w:rsidRDefault="003F48E7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Дело № 2-1741/2022</w:t>
      </w:r>
    </w:p>
    <w:p w14:paraId="147A7425" w14:textId="77777777" w:rsidR="00000000" w:rsidRDefault="003F48E7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77RS0027-02-2022-000889-39</w:t>
      </w:r>
    </w:p>
    <w:p w14:paraId="38C65F79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2D4968FE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744DAF6A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634F58DC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7610EABA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20 июля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0209D69D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4E7AEE05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5D0A1D5E" w14:textId="77777777" w:rsidR="00000000" w:rsidRDefault="003F48E7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составе: </w:t>
      </w:r>
      <w:r>
        <w:rPr>
          <w:sz w:val="28"/>
          <w:szCs w:val="28"/>
          <w:lang w:val="en-BE" w:eastAsia="en-BE" w:bidi="ar-SA"/>
        </w:rPr>
        <w:t>председательствующего судьи Молитвиной Т.А.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6815910A" w14:textId="77777777" w:rsidR="00000000" w:rsidRDefault="003F48E7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1E6A0A12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 Акперову Кириллу Захариевичу о взыскании ссудной задолженности по эмисс</w:t>
      </w:r>
      <w:r>
        <w:rPr>
          <w:sz w:val="27"/>
          <w:szCs w:val="27"/>
          <w:lang w:val="en-BE" w:eastAsia="en-BE" w:bidi="ar-SA"/>
        </w:rPr>
        <w:t xml:space="preserve">ионному контракту, </w:t>
      </w:r>
    </w:p>
    <w:p w14:paraId="65111B6B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руководствуясь ст. 199 ГПК РФ,</w:t>
      </w:r>
    </w:p>
    <w:p w14:paraId="5C55D1A1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6357EDB2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3F46A832" w14:textId="77777777" w:rsidR="00000000" w:rsidRDefault="003F48E7">
      <w:pPr>
        <w:widowControl w:val="0"/>
        <w:ind w:firstLine="567"/>
        <w:rPr>
          <w:sz w:val="27"/>
          <w:szCs w:val="27"/>
          <w:lang w:val="en-BE" w:eastAsia="en-BE" w:bidi="ar-SA"/>
        </w:rPr>
      </w:pPr>
    </w:p>
    <w:p w14:paraId="14AF5A8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 Акперову Кириллу Захариевичу  о взыскании ссудной задолженности по эмиссионному контракту удов</w:t>
      </w:r>
      <w:r>
        <w:rPr>
          <w:sz w:val="27"/>
          <w:szCs w:val="27"/>
          <w:lang w:val="en-BE" w:eastAsia="en-BE" w:bidi="ar-SA"/>
        </w:rPr>
        <w:t>летворить.</w:t>
      </w:r>
    </w:p>
    <w:p w14:paraId="2631017A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 Акперова Кирилла Захариевича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0910-Р-8505397520  от  20.07.2017 года в размере  </w:t>
      </w:r>
      <w:r>
        <w:rPr>
          <w:rStyle w:val="cat-Sumgrp-9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ра</w:t>
      </w:r>
      <w:r>
        <w:rPr>
          <w:sz w:val="27"/>
          <w:szCs w:val="27"/>
          <w:lang w:val="en-BE" w:eastAsia="en-BE" w:bidi="ar-SA"/>
        </w:rPr>
        <w:t xml:space="preserve">сходы по уплате государственной пошлины в размере  </w:t>
      </w:r>
      <w:r>
        <w:rPr>
          <w:rStyle w:val="cat-Sumgrp-10rplc-8"/>
          <w:sz w:val="27"/>
          <w:szCs w:val="27"/>
          <w:lang w:val="en-BE" w:eastAsia="en-BE" w:bidi="ar-SA"/>
        </w:rPr>
        <w:t>сумма</w:t>
      </w:r>
    </w:p>
    <w:p w14:paraId="411278A4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7CAB04D0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47E4AC94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2ABD7DE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</w:t>
      </w:r>
      <w:r>
        <w:rPr>
          <w:sz w:val="27"/>
          <w:szCs w:val="27"/>
          <w:lang w:val="en-BE" w:eastAsia="en-BE" w:bidi="ar-SA"/>
        </w:rPr>
        <w:tab/>
        <w:t xml:space="preserve">         </w:t>
      </w:r>
      <w:r>
        <w:rPr>
          <w:rStyle w:val="cat-FIOgrp-6rplc-10"/>
          <w:sz w:val="27"/>
          <w:szCs w:val="27"/>
          <w:lang w:val="en-BE" w:eastAsia="en-BE" w:bidi="ar-SA"/>
        </w:rPr>
        <w:t>фио</w:t>
      </w:r>
    </w:p>
    <w:p w14:paraId="42942CCF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4987E0E2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CCB1637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6202D33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6B72C2AF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2CA3A684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D37E202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03E62838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2FA19661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6512DD41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FBEF489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BB7F126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5AAB46A6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7C23447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05C9029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2A136537" w14:textId="77777777" w:rsidR="00000000" w:rsidRDefault="003F48E7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7"/>
          <w:szCs w:val="27"/>
          <w:lang w:val="en-BE" w:eastAsia="en-BE" w:bidi="ar-SA"/>
        </w:rPr>
        <w:lastRenderedPageBreak/>
        <w:t>Дело № 2-1741/2022</w:t>
      </w:r>
    </w:p>
    <w:p w14:paraId="451EAD3F" w14:textId="77777777" w:rsidR="00000000" w:rsidRDefault="003F48E7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77RS0027-02-2022-000889-39</w:t>
      </w:r>
    </w:p>
    <w:p w14:paraId="44E9218E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3EB90BFE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5C0DED15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1D4D285B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3411E9D9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20 июля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1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E450BEA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29E6E0EF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194FEAE5" w14:textId="77777777" w:rsidR="00000000" w:rsidRDefault="003F48E7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составе</w:t>
      </w:r>
      <w:r>
        <w:rPr>
          <w:sz w:val="27"/>
          <w:szCs w:val="27"/>
          <w:lang w:val="en-BE" w:eastAsia="en-BE" w:bidi="ar-SA"/>
        </w:rPr>
        <w:t xml:space="preserve">: </w:t>
      </w:r>
      <w:r>
        <w:rPr>
          <w:sz w:val="28"/>
          <w:szCs w:val="28"/>
          <w:lang w:val="en-BE" w:eastAsia="en-BE" w:bidi="ar-SA"/>
        </w:rPr>
        <w:t xml:space="preserve">председательствующего судьи Молитвиной Т.А., </w:t>
      </w:r>
    </w:p>
    <w:p w14:paraId="29F32444" w14:textId="77777777" w:rsidR="00000000" w:rsidRDefault="003F48E7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6FC30CB5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 Акперову Кириллу Захариеви</w:t>
      </w:r>
      <w:r>
        <w:rPr>
          <w:sz w:val="27"/>
          <w:szCs w:val="27"/>
          <w:lang w:val="en-BE" w:eastAsia="en-BE" w:bidi="ar-SA"/>
        </w:rPr>
        <w:t xml:space="preserve">чу о взыскании ссудной задолженности по эмиссионному контракту, </w:t>
      </w:r>
    </w:p>
    <w:p w14:paraId="28CB6AF3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ED2B509" w14:textId="77777777" w:rsidR="00000000" w:rsidRDefault="003F48E7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1477DC0F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5541F15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ПАО «Сбербанк России» в лице филиала – Московского банка ПАО «Сбербанк» обратился в суд с иском к  Акперову К.З.  о взыскании задолженности по эмиссионному контракту № 0910-Р-850</w:t>
      </w:r>
      <w:r>
        <w:rPr>
          <w:sz w:val="27"/>
          <w:szCs w:val="27"/>
          <w:lang w:val="en-BE" w:eastAsia="en-BE" w:bidi="ar-SA"/>
        </w:rPr>
        <w:t xml:space="preserve">5397520  от  20.07.2017 года в размере  </w:t>
      </w:r>
      <w:r>
        <w:rPr>
          <w:rStyle w:val="cat-Sumgrp-9rplc-1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расходов по уплате государственной пошлины в размере  </w:t>
      </w:r>
      <w:r>
        <w:rPr>
          <w:rStyle w:val="cat-Sumgrp-10rplc-18"/>
          <w:sz w:val="27"/>
          <w:szCs w:val="27"/>
          <w:lang w:val="en-BE" w:eastAsia="en-BE" w:bidi="ar-SA"/>
        </w:rPr>
        <w:t>сумма</w:t>
      </w:r>
    </w:p>
    <w:p w14:paraId="5DD51BF4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обоснование заявленных требований истец указал, что платежи в счет погашения задолженности по кредиту ответчиком производились с нарушениями в част</w:t>
      </w:r>
      <w:r>
        <w:rPr>
          <w:sz w:val="27"/>
          <w:szCs w:val="27"/>
          <w:lang w:val="en-BE" w:eastAsia="en-BE" w:bidi="ar-SA"/>
        </w:rPr>
        <w:t>и сроков и сумм, обязательных к погашению. 20.10.2021г. в 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</w:t>
      </w:r>
      <w:r>
        <w:rPr>
          <w:sz w:val="27"/>
          <w:szCs w:val="27"/>
          <w:lang w:val="en-BE" w:eastAsia="en-BE" w:bidi="ar-SA"/>
        </w:rPr>
        <w:t>го времени ответчиком не погашена.</w:t>
      </w:r>
    </w:p>
    <w:p w14:paraId="539E4F0F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в судебное заседание не явился, о времени и месте судебного заседания извещен надлежащим образом,  ходатайствовал о рассмотрении дела в его отсутствие.</w:t>
      </w:r>
    </w:p>
    <w:p w14:paraId="7B4BD01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не явился, о времен</w:t>
      </w:r>
      <w:r>
        <w:rPr>
          <w:sz w:val="27"/>
          <w:szCs w:val="27"/>
          <w:lang w:val="en-BE" w:eastAsia="en-BE" w:bidi="ar-SA"/>
        </w:rPr>
        <w:t>и и месте рассмотрения дела извещен  надлежащим образом по последнему известному месту жительства.</w:t>
      </w:r>
    </w:p>
    <w:p w14:paraId="267B9DF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113 ГПК РФ лица, участвующие в деле, а также свидетели, эксперты, специалисты и переводчики извещаются или вызываются в суд заказным пи</w:t>
      </w:r>
      <w:r>
        <w:rPr>
          <w:sz w:val="27"/>
          <w:szCs w:val="27"/>
          <w:lang w:val="en-BE" w:eastAsia="en-BE" w:bidi="ar-SA"/>
        </w:rPr>
        <w:t>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</w:t>
      </w:r>
      <w:r>
        <w:rPr>
          <w:sz w:val="27"/>
          <w:szCs w:val="27"/>
          <w:lang w:val="en-BE" w:eastAsia="en-BE" w:bidi="ar-SA"/>
        </w:rPr>
        <w:t>ение адресату.</w:t>
      </w:r>
    </w:p>
    <w:p w14:paraId="6F67AD7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Судебное извещение, адресованное лицу, участвующему в деле, направляется по адресу, указанному лицом, участвующим в деле, или его представителем.</w:t>
      </w:r>
    </w:p>
    <w:p w14:paraId="7776E341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118 ГПК РФ лица, участвующие в деле, обязаны сообщить суду о перемене своего адрес</w:t>
      </w:r>
      <w:r>
        <w:rPr>
          <w:sz w:val="27"/>
          <w:szCs w:val="27"/>
          <w:lang w:val="en-BE" w:eastAsia="en-BE" w:bidi="ar-SA"/>
        </w:rPr>
        <w:t xml:space="preserve">а во время производства по делу. При отсутствии такого </w:t>
      </w:r>
      <w:r>
        <w:rPr>
          <w:sz w:val="27"/>
          <w:szCs w:val="27"/>
          <w:lang w:val="en-BE" w:eastAsia="en-BE" w:bidi="ar-SA"/>
        </w:rPr>
        <w:lastRenderedPageBreak/>
        <w:t>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</w:t>
      </w:r>
      <w:r>
        <w:rPr>
          <w:sz w:val="27"/>
          <w:szCs w:val="27"/>
          <w:lang w:val="en-BE" w:eastAsia="en-BE" w:bidi="ar-SA"/>
        </w:rPr>
        <w:t>у более не проживает или не находится.</w:t>
      </w:r>
    </w:p>
    <w:p w14:paraId="26F92ED3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Кроме того, в силу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</w:t>
      </w:r>
      <w:r>
        <w:rPr>
          <w:sz w:val="27"/>
          <w:szCs w:val="27"/>
          <w:lang w:val="en-BE" w:eastAsia="en-BE" w:bidi="ar-SA"/>
        </w:rPr>
        <w:t>ля этого лица такие последствия с момента доставки соответствующего сообщения ему или его представителю.</w:t>
      </w:r>
    </w:p>
    <w:p w14:paraId="40861205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</w:t>
      </w:r>
      <w:r>
        <w:rPr>
          <w:sz w:val="27"/>
          <w:szCs w:val="27"/>
          <w:lang w:val="en-BE" w:eastAsia="en-BE" w:bidi="ar-SA"/>
        </w:rPr>
        <w:t>, не было ему вручено или адресат не ознакомился с ним.</w:t>
      </w:r>
    </w:p>
    <w:p w14:paraId="726E1A9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положениям, п. 68 Постановления Пленума Верховного Суда РФ от 23.06.2015 г. N 25 «О применении судами некоторых положений раздела I части первой Гражданского кодекса Российской Федерации» ста</w:t>
      </w:r>
      <w:r>
        <w:rPr>
          <w:sz w:val="27"/>
          <w:szCs w:val="27"/>
          <w:lang w:val="en-BE" w:eastAsia="en-BE" w:bidi="ar-SA"/>
        </w:rPr>
        <w:t>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 Таким образом, риск неполучения поступившей корреспонденции несет адресат.</w:t>
      </w:r>
    </w:p>
    <w:p w14:paraId="04FEE55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Уч</w:t>
      </w:r>
      <w:r>
        <w:rPr>
          <w:sz w:val="27"/>
          <w:szCs w:val="27"/>
          <w:lang w:val="en-BE" w:eastAsia="en-BE" w:bidi="ar-SA"/>
        </w:rPr>
        <w:t xml:space="preserve">итывая, что судом были предприняты необходимые меры по извещению ответчика о дате, времени и месте судебного заседания,  суд расценивает извещение ответчика как надлежащее, а его неявку не уважительной, в связи с чем,  руководствуясь ч.ч. 4, 5 ст. 167 ГПК </w:t>
      </w:r>
      <w:r>
        <w:rPr>
          <w:sz w:val="27"/>
          <w:szCs w:val="27"/>
          <w:lang w:val="en-BE" w:eastAsia="en-BE" w:bidi="ar-SA"/>
        </w:rPr>
        <w:t>РФ, полагает возможным рассмотреть дело в отсутствие сторон.</w:t>
      </w:r>
    </w:p>
    <w:p w14:paraId="41B1871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Исследовав письменные материалы дела, суд находит исковые требования подлежащими удовлетворению  по следующим основаниям.</w:t>
      </w:r>
    </w:p>
    <w:p w14:paraId="52982537" w14:textId="77777777" w:rsidR="00000000" w:rsidRDefault="003F48E7">
      <w:pPr>
        <w:spacing w:after="12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2 ст. 1 ГК РФ граждане и юридические лица приобретают и осуще</w:t>
      </w:r>
      <w:r>
        <w:rPr>
          <w:sz w:val="27"/>
          <w:szCs w:val="27"/>
          <w:lang w:val="en-BE" w:eastAsia="en-BE" w:bidi="ar-SA"/>
        </w:rPr>
        <w:t>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31D8A119" w14:textId="77777777" w:rsidR="00000000" w:rsidRDefault="003F48E7">
      <w:pPr>
        <w:spacing w:after="12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1 ст. 819 ГК РФ по кредитн</w:t>
      </w:r>
      <w:r>
        <w:rPr>
          <w:sz w:val="27"/>
          <w:szCs w:val="27"/>
          <w:lang w:val="en-BE" w:eastAsia="en-BE" w:bidi="ar-SA"/>
        </w:rPr>
        <w:t>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 w14:paraId="5EA9080F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</w:t>
      </w:r>
      <w:r>
        <w:rPr>
          <w:sz w:val="27"/>
          <w:szCs w:val="27"/>
          <w:lang w:val="en-BE" w:eastAsia="en-BE" w:bidi="ar-SA"/>
        </w:rPr>
        <w:t>я, а кредитор имеет право от должника исполнения его обязанности.</w:t>
      </w:r>
    </w:p>
    <w:p w14:paraId="15A7085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309 ГК РФ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sz w:val="27"/>
          <w:szCs w:val="27"/>
          <w:lang w:val="en-BE" w:eastAsia="en-BE" w:bidi="ar-SA"/>
        </w:rPr>
        <w:lastRenderedPageBreak/>
        <w:t>правовых актов, а при отсутствии таких условий и</w:t>
      </w:r>
      <w:r>
        <w:rPr>
          <w:sz w:val="27"/>
          <w:szCs w:val="27"/>
          <w:lang w:val="en-BE" w:eastAsia="en-BE" w:bidi="ar-SA"/>
        </w:rPr>
        <w:t xml:space="preserve"> требований – в соответствии с обычаями делового оборота или иными обычно предъявляемыми требованиями.</w:t>
      </w:r>
    </w:p>
    <w:p w14:paraId="43F7796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07F913B4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судебном заседании устано</w:t>
      </w:r>
      <w:r>
        <w:rPr>
          <w:sz w:val="27"/>
          <w:szCs w:val="27"/>
          <w:lang w:val="en-BE" w:eastAsia="en-BE" w:bidi="ar-SA"/>
        </w:rPr>
        <w:t xml:space="preserve">влено, что   20.07.2017 между ПАО «Сбербанк» и  </w:t>
      </w:r>
      <w:r>
        <w:rPr>
          <w:rStyle w:val="cat-FIOgrp-8rplc-1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заключен эмиссионный контракт № 0910-Р-8505397520   на предоставление возобновляемой кредитной линии посредством выдачи кредитной карты ПАО «Сбербанк» с предоставленным по ней кредитом и обслуживанием сче</w:t>
      </w:r>
      <w:r>
        <w:rPr>
          <w:sz w:val="27"/>
          <w:szCs w:val="27"/>
          <w:lang w:val="en-BE" w:eastAsia="en-BE" w:bidi="ar-SA"/>
        </w:rPr>
        <w:t xml:space="preserve">та по данной карте в российских рублях. </w:t>
      </w:r>
    </w:p>
    <w:p w14:paraId="7975851A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Договор заключен в результате публичной оферты путем оформления ответчиком заявления на получение кредитной карты ПАО «Сбербанк» и ознакомления его с Индивидуальными условиями выпуска и обслуживания кредитной карты </w:t>
      </w:r>
      <w:r>
        <w:rPr>
          <w:sz w:val="27"/>
          <w:szCs w:val="27"/>
          <w:lang w:val="en-BE" w:eastAsia="en-BE" w:bidi="ar-SA"/>
        </w:rPr>
        <w:t>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</w:t>
      </w:r>
    </w:p>
    <w:p w14:paraId="2C8036CD" w14:textId="77777777" w:rsidR="00000000" w:rsidRDefault="003F48E7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Данный договор, по своему существу, является договором п</w:t>
      </w:r>
      <w:r>
        <w:rPr>
          <w:sz w:val="27"/>
          <w:szCs w:val="27"/>
          <w:lang w:val="en-BE" w:eastAsia="en-BE" w:bidi="ar-SA"/>
        </w:rPr>
        <w:t>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14:paraId="4DC30FC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заключенного договора ответчику была выдана кредитная карта с лими</w:t>
      </w:r>
      <w:r>
        <w:rPr>
          <w:sz w:val="27"/>
          <w:szCs w:val="27"/>
          <w:lang w:val="en-BE" w:eastAsia="en-BE" w:bidi="ar-SA"/>
        </w:rPr>
        <w:t>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4F41B6DC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одновременным уменьшением доступного лимита кредита. Кредит по карте предоставляется ответ</w:t>
      </w:r>
      <w:r>
        <w:rPr>
          <w:sz w:val="27"/>
          <w:szCs w:val="27"/>
          <w:lang w:val="en-BE" w:eastAsia="en-BE" w:bidi="ar-SA"/>
        </w:rPr>
        <w:t xml:space="preserve">чику в размере кредитного лимита под 24,048 % годовых на условиях, определенных Тарифами Банка. </w:t>
      </w:r>
    </w:p>
    <w:p w14:paraId="27110724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</w:t>
      </w:r>
      <w:r>
        <w:rPr>
          <w:sz w:val="27"/>
          <w:szCs w:val="27"/>
          <w:lang w:val="en-BE" w:eastAsia="en-BE" w:bidi="ar-SA"/>
        </w:rPr>
        <w:t>стью (оплата суммы общей задолженности) в соответствии с информацией, указанной в отчете.</w:t>
      </w:r>
    </w:p>
    <w:p w14:paraId="534BB52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Условиями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1A71D1DE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Сумма неустойки рассчитывае</w:t>
      </w:r>
      <w:r>
        <w:rPr>
          <w:sz w:val="27"/>
          <w:szCs w:val="27"/>
          <w:lang w:val="en-BE" w:eastAsia="en-BE" w:bidi="ar-SA"/>
        </w:rPr>
        <w:t>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</w:t>
      </w:r>
      <w:r>
        <w:rPr>
          <w:sz w:val="27"/>
          <w:szCs w:val="27"/>
          <w:lang w:val="en-BE" w:eastAsia="en-BE" w:bidi="ar-SA"/>
        </w:rPr>
        <w:t>олном объеме.</w:t>
      </w:r>
    </w:p>
    <w:p w14:paraId="1B8D01AD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0B85FD07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За ответчиком по состоянию на 22.11.2021  образовалась просроченная задолженность в общем размере  </w:t>
      </w:r>
      <w:r>
        <w:rPr>
          <w:rStyle w:val="cat-Sumgrp-9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них согласно расчету истца : просроченные проценты – </w:t>
      </w:r>
      <w:r>
        <w:rPr>
          <w:rStyle w:val="cat-Sumgrp-11rplc-2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просроченный основной долг – </w:t>
      </w:r>
      <w:r>
        <w:rPr>
          <w:rStyle w:val="cat-Sumgrp-12rplc-2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 неустойка – </w:t>
      </w:r>
      <w:r>
        <w:rPr>
          <w:rStyle w:val="cat-Sumgrp-13rplc-23"/>
          <w:sz w:val="27"/>
          <w:szCs w:val="27"/>
          <w:lang w:val="en-BE" w:eastAsia="en-BE" w:bidi="ar-SA"/>
        </w:rPr>
        <w:t>сумма</w:t>
      </w:r>
    </w:p>
    <w:p w14:paraId="2E48AB58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20.10.2021 в  адрес ответчика было направлено требование о досрочном возврате суммы кредита, процентов за пользование кредитом и уплате </w:t>
      </w:r>
      <w:r>
        <w:rPr>
          <w:sz w:val="27"/>
          <w:szCs w:val="27"/>
          <w:lang w:val="en-BE" w:eastAsia="en-BE" w:bidi="ar-SA"/>
        </w:rPr>
        <w:t>неустойки, которое было оставлено без исполнения, задолженность до настоящего времени ответчиком не погашена.</w:t>
      </w:r>
    </w:p>
    <w:p w14:paraId="34E2127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день рассмотрения иска в суде задолженность перед банком ответчиком не погашена.</w:t>
      </w:r>
    </w:p>
    <w:p w14:paraId="5FEBC56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был ознакомлен с условиями предоставления кредита и в</w:t>
      </w:r>
      <w:r>
        <w:rPr>
          <w:sz w:val="27"/>
          <w:szCs w:val="27"/>
          <w:lang w:val="en-BE" w:eastAsia="en-BE" w:bidi="ar-SA"/>
        </w:rPr>
        <w:t>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добровольного волеизъявления, что в силу статей 429, 431 ГК РФ позволяет признать эти</w:t>
      </w:r>
      <w:r>
        <w:rPr>
          <w:sz w:val="27"/>
          <w:szCs w:val="27"/>
          <w:lang w:val="en-BE" w:eastAsia="en-BE" w:bidi="ar-SA"/>
        </w:rPr>
        <w:t xml:space="preserve"> условия согласованными.</w:t>
      </w:r>
    </w:p>
    <w:p w14:paraId="730126FB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Оценив в совокупности собранные по делу доказательства, суд приходит к выводу о том, что исковые требования ПАО «Сбербанк» о взыскании с ответчика  задолженности по эмиссионному контракту, являются обоснованными.</w:t>
      </w:r>
    </w:p>
    <w:p w14:paraId="0E41633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56 ГП</w:t>
      </w:r>
      <w:r>
        <w:rPr>
          <w:sz w:val="27"/>
          <w:szCs w:val="27"/>
          <w:lang w:val="en-BE" w:eastAsia="en-BE" w:bidi="ar-SA"/>
        </w:rPr>
        <w:t>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D8834E1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Доказательств, свидетельствующих об исполнении надлежащим образом принятых на се</w:t>
      </w:r>
      <w:r>
        <w:rPr>
          <w:sz w:val="27"/>
          <w:szCs w:val="27"/>
          <w:lang w:val="en-BE" w:eastAsia="en-BE" w:bidi="ar-SA"/>
        </w:rPr>
        <w:t>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14:paraId="6D619E43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150 ГПК РФ непредставление ответчиком доказательств и возражений не препятствует рассмотрению дела по имеющимся </w:t>
      </w:r>
      <w:r>
        <w:rPr>
          <w:sz w:val="27"/>
          <w:szCs w:val="27"/>
          <w:lang w:val="en-BE" w:eastAsia="en-BE" w:bidi="ar-SA"/>
        </w:rPr>
        <w:t>в деле доказательствам.</w:t>
      </w:r>
    </w:p>
    <w:p w14:paraId="55015A5D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поскольку данный расчет  основан на  условиях заключенного между сторонами кре</w:t>
      </w:r>
      <w:r>
        <w:rPr>
          <w:sz w:val="27"/>
          <w:szCs w:val="27"/>
          <w:lang w:val="en-BE" w:eastAsia="en-BE" w:bidi="ar-SA"/>
        </w:rPr>
        <w:t>дитного договора.</w:t>
      </w:r>
    </w:p>
    <w:p w14:paraId="2FF47C86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При таких обстоятельствах суд приходит к выводу о взыскании с ответчика в пользу истца задолженности по эмиссионному контракту в размере  </w:t>
      </w:r>
      <w:r>
        <w:rPr>
          <w:rStyle w:val="cat-Sumgrp-9rplc-24"/>
          <w:sz w:val="27"/>
          <w:szCs w:val="27"/>
          <w:lang w:val="en-BE" w:eastAsia="en-BE" w:bidi="ar-SA"/>
        </w:rPr>
        <w:t>сумма</w:t>
      </w:r>
    </w:p>
    <w:p w14:paraId="5159F93F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 98 ГПК РФ с ответчика в пользу истца суд взыскивает расходы по уплате</w:t>
      </w:r>
      <w:r>
        <w:rPr>
          <w:sz w:val="27"/>
          <w:szCs w:val="27"/>
          <w:lang w:val="en-BE" w:eastAsia="en-BE" w:bidi="ar-SA"/>
        </w:rPr>
        <w:t xml:space="preserve"> госпошлины в размере </w:t>
      </w:r>
      <w:r>
        <w:rPr>
          <w:rStyle w:val="cat-Sumgrp-10rplc-25"/>
          <w:sz w:val="27"/>
          <w:szCs w:val="27"/>
          <w:lang w:val="en-BE" w:eastAsia="en-BE" w:bidi="ar-SA"/>
        </w:rPr>
        <w:t>сумма</w:t>
      </w:r>
    </w:p>
    <w:p w14:paraId="03BBB431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194-199 ГПК РФ, суд</w:t>
      </w:r>
    </w:p>
    <w:p w14:paraId="52FC6828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3834B4C0" w14:textId="77777777" w:rsidR="00000000" w:rsidRDefault="003F48E7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59070B01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7E3E1CB8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 Акперову Кириллу Захариевичу  о взыскании ссудной за</w:t>
      </w:r>
      <w:r>
        <w:rPr>
          <w:sz w:val="27"/>
          <w:szCs w:val="27"/>
          <w:lang w:val="en-BE" w:eastAsia="en-BE" w:bidi="ar-SA"/>
        </w:rPr>
        <w:t>долженности по эмиссионному контракту удовлетворить.</w:t>
      </w:r>
    </w:p>
    <w:p w14:paraId="2FE0CC9C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 Акперова Кирилла Захариевича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0910-Р-8505397520</w:t>
      </w:r>
      <w:r>
        <w:rPr>
          <w:sz w:val="27"/>
          <w:szCs w:val="27"/>
          <w:lang w:val="en-BE" w:eastAsia="en-BE" w:bidi="ar-SA"/>
        </w:rPr>
        <w:t xml:space="preserve">  от  20.07.2017 года в размере  </w:t>
      </w:r>
      <w:r>
        <w:rPr>
          <w:rStyle w:val="cat-Sumgrp-9rplc-2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 </w:t>
      </w:r>
      <w:r>
        <w:rPr>
          <w:rStyle w:val="cat-Sumgrp-10rplc-29"/>
          <w:sz w:val="27"/>
          <w:szCs w:val="27"/>
          <w:lang w:val="en-BE" w:eastAsia="en-BE" w:bidi="ar-SA"/>
        </w:rPr>
        <w:t>сумма</w:t>
      </w:r>
    </w:p>
    <w:p w14:paraId="5E16499F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18134782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</w:t>
      </w: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3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36AB0B8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5AE66148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</w:t>
      </w:r>
      <w:r>
        <w:rPr>
          <w:sz w:val="27"/>
          <w:szCs w:val="27"/>
          <w:lang w:val="en-BE" w:eastAsia="en-BE" w:bidi="ar-SA"/>
        </w:rPr>
        <w:tab/>
        <w:t xml:space="preserve">         </w:t>
      </w:r>
      <w:r>
        <w:rPr>
          <w:rStyle w:val="cat-FIOgrp-6rplc-31"/>
          <w:sz w:val="27"/>
          <w:szCs w:val="27"/>
          <w:lang w:val="en-BE" w:eastAsia="en-BE" w:bidi="ar-SA"/>
        </w:rPr>
        <w:t>фио</w:t>
      </w:r>
    </w:p>
    <w:p w14:paraId="532EF12E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4AE74C60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2669D079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446F8461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05364F97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0F97F8E0" w14:textId="77777777" w:rsidR="00000000" w:rsidRDefault="003F48E7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54335282" w14:textId="77777777" w:rsidR="00000000" w:rsidRDefault="003F48E7">
      <w:pPr>
        <w:ind w:firstLine="567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Мотивированное решение суда изготовлено   12.08.2022 года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AB179" w14:textId="77777777" w:rsidR="00000000" w:rsidRDefault="003F48E7">
      <w:r>
        <w:separator/>
      </w:r>
    </w:p>
  </w:endnote>
  <w:endnote w:type="continuationSeparator" w:id="0">
    <w:p w14:paraId="02F93A20" w14:textId="77777777" w:rsidR="00000000" w:rsidRDefault="003F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71A1" w14:textId="77777777" w:rsidR="00000000" w:rsidRDefault="003F48E7">
    <w:pPr>
      <w:rPr>
        <w:lang w:val="en-BE" w:eastAsia="en-BE" w:bidi="ar-SA"/>
      </w:rPr>
    </w:pPr>
  </w:p>
  <w:p w14:paraId="0350E9A9" w14:textId="77777777" w:rsidR="00000000" w:rsidRDefault="003F48E7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13AB7" w14:textId="77777777" w:rsidR="00000000" w:rsidRDefault="003F48E7">
      <w:r>
        <w:separator/>
      </w:r>
    </w:p>
  </w:footnote>
  <w:footnote w:type="continuationSeparator" w:id="0">
    <w:p w14:paraId="14431FE1" w14:textId="77777777" w:rsidR="00000000" w:rsidRDefault="003F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8E7"/>
    <w:rsid w:val="003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6936874"/>
  <w15:chartTrackingRefBased/>
  <w15:docId w15:val="{2B77B9A8-7410-420B-BFA2-D8F8DF7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9rplc-24">
    <w:name w:val="cat-Sum grp-9 rplc-24"/>
    <w:basedOn w:val="a0"/>
  </w:style>
  <w:style w:type="character" w:customStyle="1" w:styleId="cat-Sumgrp-10rplc-25">
    <w:name w:val="cat-Sum grp-10 rplc-25"/>
    <w:basedOn w:val="a0"/>
  </w:style>
  <w:style w:type="character" w:customStyle="1" w:styleId="cat-Sumgrp-9rplc-28">
    <w:name w:val="cat-Sum grp-9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Addressgrp-1rplc-30">
    <w:name w:val="cat-Address grp-1 rplc-30"/>
    <w:basedOn w:val="a0"/>
  </w:style>
  <w:style w:type="character" w:customStyle="1" w:styleId="cat-FIOgrp-6rplc-31">
    <w:name w:val="cat-FIO grp-6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