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Гражданское дело № 02-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18689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/2023</w:t>
      </w:r>
    </w:p>
    <w:p>
      <w:pPr>
        <w:spacing w:before="0" w:after="0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УИД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77RS0018-02-2023-003843-12</w:t>
      </w:r>
    </w:p>
    <w:p>
      <w:pPr>
        <w:spacing w:before="0" w:after="0"/>
        <w:jc w:val="center"/>
        <w:rPr>
          <w:sz w:val="28"/>
          <w:szCs w:val="28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РЕШЕНИЕ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/>
        <w:ind w:firstLine="709"/>
        <w:jc w:val="center"/>
        <w:rPr>
          <w:sz w:val="28"/>
          <w:szCs w:val="28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«23» октября 2023 года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                                                                              </w:t>
      </w:r>
      <w:r>
        <w:rPr>
          <w:rStyle w:val="cat-Addressgrp-0rplc-0"/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адрес</w:t>
      </w: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Щербинский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районный суд </w:t>
      </w:r>
      <w:r>
        <w:rPr>
          <w:rStyle w:val="cat-Addressgrp-0rplc-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составе председательствующего судьи Капустиной Г.В., при секретаре </w:t>
      </w:r>
      <w:r>
        <w:rPr>
          <w:rStyle w:val="cat-FIOgrp-6rplc-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рассмотрев в открытом судебном заседании гражданское дело № 02-18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689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/2023 по иску ПАО Сбербанк в лице филиала – Московского банка ПАО Сбербанк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Емикееву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Вадиму Геннадьевичу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расторжении кредитного договора, о взыскании задолженности,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УСТАНОВИЛ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:</w:t>
      </w:r>
    </w:p>
    <w:p>
      <w:pPr>
        <w:spacing w:before="0" w:after="0"/>
        <w:ind w:firstLine="709"/>
        <w:jc w:val="center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филиала – Московского банка ПАО Сбербанк к наследственному имуществу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Емикеевой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Л.П.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расторжении кредитного договора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95481428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18.07.2021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г., заключенного между ПАО Сбербанк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Емикеевой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Л.П.;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взыскании суммы задолженности по кредитному договору в размере </w:t>
      </w:r>
      <w:r>
        <w:rPr>
          <w:rStyle w:val="cat-Sumgrp-15rplc-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а также расходов по оплате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госпошлины в размере </w:t>
      </w:r>
      <w:r>
        <w:rPr>
          <w:rStyle w:val="cat-Sumgrp-16rplc-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Истец мотивирует свои требования тем, что между ПАО «Сбербанк России»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Емикеевой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Л.П.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был заключен кредитный договор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№ 95481428 от 18.07.2021 г.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соответствии с которым истец выдал заемщику кредит на сумму </w:t>
      </w:r>
      <w:r>
        <w:rPr>
          <w:rStyle w:val="cat-Sumgrp-17rplc-1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срок 60 месяцев, под 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6,8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% годовых. Кредитный договор подписан в электронном виде простой электронной подписью, со стороны заемщика посредством использования систем «Сбербанк Онлайн» и «Мобильный банк». В течение срока действия договора заемщик неоднократно нарушала условия кредитного договора в части сроков и сумм ежемесячных платежей, 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связи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 чем образовалась просроченная задолженность по кредиту. 10.08.2022 года заемщик умела. По состоянию на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17.02.2023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размер задолженности по кредитному договору составляет </w:t>
      </w:r>
      <w:r>
        <w:rPr>
          <w:rStyle w:val="cat-Sumgrp-15rplc-1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из которых: </w:t>
      </w:r>
      <w:r>
        <w:rPr>
          <w:rStyle w:val="cat-Sumgrp-18rplc-1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– зад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олженность по основному долгу; </w:t>
      </w:r>
      <w:r>
        <w:rPr>
          <w:rStyle w:val="cat-Sumgrp-19rplc-1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– задолженность по процентам.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ходе рассмотрения настоящего гражданского дела к участию в деле в качестве ответчик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 был привлечен наследник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Емикеевой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Л.П.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Емикеев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В.Г.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Представитель истца ПАО Сбербанк в лице филиала – Московского банка ПАО Сбербанк в судебное заседание не явился, о времени и месте рассмотрения дела извещен надлежащим образом, просил о рассмотрении дела в его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отсутствие по имеющимся в деле доказательствам, о чем указал в исковом заявлении.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Емикеев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В.Г.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судебное заседание не явил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о времени и месте рассмотрения дела извещал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надлежащим образом в соответствии с действующим законодательством, не просил об отложении судебного разбирательства, не сообщил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суду о причинах неявки. </w:t>
      </w:r>
    </w:p>
    <w:p>
      <w:pPr>
        <w:spacing w:before="0" w:after="0"/>
        <w:ind w:firstLine="54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Учитывая, что реализация участниками гражданского оборота своих прав не должна нарушать права и охраняемые законом интересы других лиц, суд на основании ст. 167 ГПК РФ полагает возможным рассмотреть дело в отсутствие участвующих в деле лиц, извещенных надлежащим образом о времени и месте рассмотрения дела по существу, по имеющимся в деле доказательствам.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Исследовав письменные материалы дела, суд переходит к следующему.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ст. 309, 310 ГК РФ обязательства должны исполняться надлежащим образом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соответствии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условиями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обязательства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требованиями закона,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иных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правовых актов. Односторонний отказ от исполнения обязательства и одностороннее изменение его условий не допускаются.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со ст. 807 ГК РФ по договору займа одна сторона (займодавец) передает или обязуется передать в собственность другой стороне (заемщику) деньги, вещи, определенные родовыми признаками, или ценные бумаги, а заемщик обязуется возвратить займодавцу такую же сумму денег (сумму займа) или равное количество полученных им вещей того же рода и качества либо таких же ценных бумаг.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 основании ст. 809 ГК РФ,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если иное не предусмотрено законом или договором займа, займодавец имеет право на получение с заемщика процентов за пользование займом в размерах и в порядке, определенных договором. При отсутствии в договоре условия о размере процентов за пользование займом их размер определяется ключевой ставкой Банка России, действовавшей в соответствующие периоды.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со ст. 810 ч. 1 ГК РФ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заемщик обязан возвратить займодавцу сумму займа в срок и в порядке, которые предусмотрены договором займа.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811 ГК РФ,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пунктом 1 статьи 395 настоящего Кодекса, со дня, когда она должна была быть возвращена, до дня ее возврата займодавцу независимо от уплаты процентов, предусмотренных пунктом 1 статьи 809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настоящего Кодекса.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суммы займа вместе с процентами за пользование займом, причитающимися на момент его возврата.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Как следует из материалов дела, между ПАО Сбербанк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Емикеевой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Л.П.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был заключен кредитный договор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№ 95481428 от 18.07.2021 г.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соответствии с которым истец выдал заемщику кредит на сумму </w:t>
      </w:r>
      <w:r>
        <w:rPr>
          <w:rStyle w:val="cat-Sumgrp-17rplc-1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 срок 60 месяцев, под 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% годовых.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Кредитный договор подписан в электронном виде простой электронной подписью, со стороны заемщика посредством использования систем «Сбербанк Онлайн» и «Мобильный банк».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Статьей 432 ГК РФ предусмотрено, что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 пунктом 2 статьи 160 ГК РФ использование при совершении сделок факсимильного воспроизведения подписи с помощью средств механического или иного копирования, электронной подписи либо иного аналога собственноручной подписи допускается в случаях и в порядке, предусмотренных законом, иными правовыми актами или соглашением сторон.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Порядок заключения договоров в электронном виде между клиентом и Банком регулируется договором банковского обслуживания.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 п. 3.9. Приложения 1 к Условиям банковского обслуживания электронные документы, в том числе договоры и заявления, подписанные с использованием Аналога собственноручной подписи/простой электронной подписью, признаются Банком и Клиентом равнозначными документам на бумажном носителе, подписанным собственноручной подписью.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соответствии 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п.п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1.1. Условий банковского обслуживания надлежащим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образом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заключенным между клиентом и Банком ДБО будет считаться заполненное и подписанное клиентом Заявление на банковское обслуживание и Условия банковского обслуживания в совокупности.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Пунктом 1.2. установлено, что ДБО считается заключенным с момента получения Банком лично от клиента Заявления на банковское обслуживание на бумажном носителе по форме, установленной Банком, подписанного собственноручной подписью Клиента.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Подписывая заявление на банковское обслуживание, должник подтвердил свое согласие с «Условиями банковского обслуживания физических лиц» и обязалась их выполнять.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08.06.2018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г. заемщик обратился в Банк с заявлением на получение дебетовой карты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MasterCard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№ счета карты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40817810538180023345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использованием Карты Клиент получает возможность совершать определенные ДБО операции по своим Счетам Карт, Счетам, вкладам и другим продуктам в Банке через удаленные каналы обслуживания (п.1.9 ДБО).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Как следует из заявления на получение банковской карты, заемщик подтвердил свое согласие с Условиями выпуска и облуживания банковских карт, Памяткой Держателя карт ПАО Сбербанк, Памяткой по безопасности при использовании карт и Тарифами ПАО Сбербанк и обязался их выполнять.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01.06.2021 г. должник самостоятельно к своей банковской карте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банковской карте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MasterCard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№ счета карты 40817810538180023345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была подключена услуга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«Мобильный банк»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 номеру телефона </w:t>
      </w:r>
      <w:r>
        <w:rPr>
          <w:rStyle w:val="cat-PhoneNumbergrp-25rplc-19"/>
          <w:rFonts w:ascii="Times New Roman" w:eastAsia="Times New Roman" w:hAnsi="Times New Roman" w:cs="Times New Roman"/>
          <w:sz w:val="28"/>
          <w:szCs w:val="28"/>
          <w:highlight w:val="none"/>
        </w:rPr>
        <w:t>телефон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28.05.2020 должник самостоятельно осуществил регистрацию в системе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Сбербнак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-Онлайн»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16.07.2021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заемщиком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был выполнен вход в систему «Сбербанк Онлайн» и направлена заявка на получение кредита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выписке из журнала СМС-сообщений в системе «Мобильный банк»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16.07.2021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г. заемщику поступило сообщение с предложением подтвердить заявку на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указаны сумма, срок кредита, интервал процентной ставки, пароль для подтверждения. Пароль подтверждения был введен клиентом, так заявка на кредит и данные анкеты были подтверждены клиентом простой электронной подписью.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выписке по счету клиента/расходно-кассовому ордеру/мемориальному ордеру/платежному поручению/отчету по банковской карте клиента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MasterCard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№ счета карты 40817810538180023345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(выбран заемщиком для перечисления кредита - п. 17 кредитного договора) и выписке из журнала СМС-сообщений в системе «Мобильный банк»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18.07.2021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г. Банком выполнено зачисление кредита в сумме </w:t>
      </w:r>
      <w:r>
        <w:rPr>
          <w:rStyle w:val="cat-Sumgrp-17rplc-2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Таким образом, Банк выполнил свои обязательства по кредитному договору в полном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объеме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соответствии с условиями кредитного договора погашение кредита производится заемщиком ежемесячно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аннуитетными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платежами в соответствии с Графиком платежей.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 Условиями кредитного договора при несвоевременном внесении (перечислении) ежемесячного платежа в погашение кредита и/или уплату процентов за пользование кредитом заемщик уплачивает кредитору неустойку в размере 20,00% годовых от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Условиям кредитного договора обязательства заемщика считаются надлежаще и полностью выполненными после возврата кредитору всей суммы кредита, уплаты процентов за пользование кредитом, неустойки в соответствии с Условиями кредитного договора, определяемых на дату погашения кредита, и возмещения расходов, связанных с взысканием задолженности.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течение срока действия договора заемщик неоднократно нарушал условия кредитного договора в части сроков и сумм ежемесячных платежей связи с чем, образовалась просроченная задолженность по кредиту.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22.06.2022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заемщик </w:t>
      </w:r>
      <w:r>
        <w:rPr>
          <w:rStyle w:val="cat-FIOgrp-9rplc-21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умерла (свидетельство о смерти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Х-МЮ 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515180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23 июня 2022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года).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Обязательства по выплате задолженности заемщиком не исполнены. По состоянию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17.02.2023 года размер задолженности по кредитному договору составляет </w:t>
      </w:r>
      <w:r>
        <w:rPr>
          <w:rStyle w:val="cat-Sumgrp-15rplc-2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из которых: </w:t>
      </w:r>
      <w:r>
        <w:rPr>
          <w:rStyle w:val="cat-Sumgrp-18rplc-2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– задолженность по основному долгу; </w:t>
      </w:r>
      <w:r>
        <w:rPr>
          <w:rStyle w:val="cat-Sumgrp-19rplc-2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– задолженность по процентам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Из поступившей по запросу суда от нотариуса Московской городской нотариальной палаты </w:t>
      </w:r>
      <w:r>
        <w:rPr>
          <w:rStyle w:val="cat-FIOgrp-10rplc-2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копии наследственного дела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33574381-58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/202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 05.12.2022 г.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 имуществу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Емикеевой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Л.П.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умершей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22.06.2022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г., усматривается, что наследник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заемщика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принявшим наследство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явля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тся – </w:t>
      </w:r>
      <w:r>
        <w:rPr>
          <w:rStyle w:val="cat-FIOgrp-11rplc-2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муж).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28 декабря 2022 года </w:t>
      </w:r>
      <w:r>
        <w:rPr>
          <w:rStyle w:val="cat-FIOgrp-11rplc-28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выданы свидетельства о праве на наследство по закону, которое состоит из: квартиры по адресу: </w:t>
      </w:r>
      <w:r>
        <w:rPr>
          <w:rStyle w:val="cat-Addressgrp-1rplc-29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машино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-места по адресу: </w:t>
      </w:r>
      <w:r>
        <w:rPr>
          <w:rStyle w:val="cat-Addressgrp-2rplc-30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м/м 224М;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помещения, назначение: нежилое по адресу: </w:t>
      </w:r>
      <w:r>
        <w:rPr>
          <w:rStyle w:val="cat-Addressgrp-0rplc-3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ер.г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</w:t>
      </w:r>
      <w:r>
        <w:rPr>
          <w:rStyle w:val="cat-Addressgrp-3rplc-32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пом. 176К; транспортного средства </w:t>
      </w:r>
      <w:r>
        <w:rPr>
          <w:rStyle w:val="cat-CarMakeModelgrp-23rplc-33"/>
          <w:rFonts w:ascii="Times New Roman" w:eastAsia="Times New Roman" w:hAnsi="Times New Roman" w:cs="Times New Roman"/>
          <w:sz w:val="28"/>
          <w:szCs w:val="28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2014 года выпуска, </w:t>
      </w:r>
      <w:r>
        <w:rPr>
          <w:rStyle w:val="cat-CarNumbergrp-24rplc-34"/>
          <w:rFonts w:ascii="Times New Roman" w:eastAsia="Times New Roman" w:hAnsi="Times New Roman" w:cs="Times New Roman"/>
          <w:sz w:val="28"/>
          <w:szCs w:val="28"/>
          <w:highlight w:val="none"/>
        </w:rPr>
        <w:t>регистрационный знак ТС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; прав на денежные средства, находящиеся на счетах в ПАО Сбербанк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прав и обязанности по кредитным договорам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№ 95481428 от 18.07.2021 г.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№ 94543967 от 10.12.2020 г., № 40817810700032574000 от 07.05.2019 г.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1113 ГК РФ, наследство открывается со смертью гражданина. Объявление судом гражданина умершим влечет за собой те же правовые последствия, что и смерть гражданина.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обязанности, что предусмотрено ч. 1 ст. 1112 ГК РФ.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 п. 1 ст. 1175 ГК РФ наследники, принявшие наследство, отвечают по долгам наследодателя солидарно. Каждый из наследников отвечает по долгам наследодателя в пределах стоимости перешедшего к нему наследственного имущества.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Пленум Верховного Суда Российской Федерации в Постановлении от 29 мая 2012 № 9 «О судебной практике по делам о наследовании» разъяснил, что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абз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 2 п. 61).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учетом изложенного, поскольку размер задолженности и факт ненадлежащего исполнения заемщиком своих обязательств нашли подтверждение в ходе рассмотрения дела и ответчиками не опровергнуты, требования истца подлежат удовлетворению.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Учитывая, что стоимости перешедшего к наследник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имущества в порядке наследования после смерти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Емикеевой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Л.П.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достаточно для погашения задолженности перед истцом, суд находит исковые требования обоснованными и подлежащими удовлетворению.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Таким образом, с ответчик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подлежит взысканию задолженность по кредитному договору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№ 95481428 от 18.07.2021 г.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размере </w:t>
      </w:r>
      <w:r>
        <w:rPr>
          <w:rStyle w:val="cat-Sumgrp-15rplc-3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поскольку 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а также предусмотренные кредитным договором иные платежи, в том числе связанные с предоставлением кредита.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п. 2 ст. 450 ГК РФ по требованию одной из сторон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договор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может быть расторгнут по решению суда при существенном нарушении 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Учитывая размер сумм просроченных платежей, а также срок просроченных платежей, суд признает допущенные заемщиком нарушения условий кредитного договора существенными и удовлетворяет требование истца о расторжении кредитного договора.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со ст. 98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ГПК РФ, стороне, в пользу которой состоялось решение, суд присуждает возместить с другой стороны все понесенные по делу судебные расходы.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таких обстоятельствах, с ответчиков в пользу истца подлежит взысканию возврат государственной пошлины, уплаченной при подаче искового заявления в размере </w:t>
      </w:r>
      <w:r>
        <w:rPr>
          <w:rStyle w:val="cat-Sumgrp-16rplc-3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руководствуясь ст. ст. 194 - 198 ГПК РФ, суд</w:t>
      </w:r>
    </w:p>
    <w:p>
      <w:pPr>
        <w:spacing w:before="0" w:after="0"/>
        <w:ind w:firstLine="709"/>
        <w:jc w:val="center"/>
        <w:rPr>
          <w:sz w:val="28"/>
          <w:szCs w:val="28"/>
        </w:rPr>
      </w:pPr>
    </w:p>
    <w:p>
      <w:pPr>
        <w:spacing w:before="0" w:after="0"/>
        <w:ind w:firstLine="70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РЕШИЛ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:</w:t>
      </w:r>
    </w:p>
    <w:p>
      <w:pPr>
        <w:spacing w:before="0" w:after="0"/>
        <w:ind w:firstLine="709"/>
        <w:jc w:val="center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филиала – Московского банка ПАО Сбербанк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Емикееву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Вадиму Геннадьевичу о расторжении кредитного договора, о взыскании задолженности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– удовлетворить.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Расторгнуть кредитный договор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№ 95481428 от 18.07.2021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заключенный между ПАО Сбербанк в лице филиала – Московского банка ПАО Сбербанк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Емикеевой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Людмилой Петровной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Емикеев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Вадим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Геннадьевич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 (</w:t>
      </w:r>
      <w:r>
        <w:rPr>
          <w:rStyle w:val="cat-PassportDatagrp-22rplc-41"/>
          <w:rFonts w:ascii="Times New Roman" w:eastAsia="Times New Roman" w:hAnsi="Times New Roman" w:cs="Times New Roman"/>
          <w:sz w:val="28"/>
          <w:szCs w:val="28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пользу ПАО Сбербанк в лице филиала – Московского банка ПАО Сбербанк (ОГРН 1027700132195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ИНН 7707083893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) задолженность по кредитному договору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95481428 от 18.07.2021 года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размере </w:t>
      </w:r>
      <w:r>
        <w:rPr>
          <w:rStyle w:val="cat-Sumgrp-20rplc-4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а также расходы по оплате государственной пошлины в размере </w:t>
      </w:r>
      <w:r>
        <w:rPr>
          <w:rStyle w:val="cat-Sumgrp-21rplc-4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Решение может быть обжаловано в апелляционном порядке в Московский городской суд через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Щербинский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районный суд </w:t>
      </w:r>
      <w:r>
        <w:rPr>
          <w:rStyle w:val="cat-Addressgrp-0rplc-44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течение месяца со дня принятия решения суда в окончательной форме.</w:t>
      </w:r>
    </w:p>
    <w:p>
      <w:pPr>
        <w:widowControl w:val="0"/>
        <w:spacing w:before="0" w:after="0"/>
        <w:rPr>
          <w:sz w:val="28"/>
          <w:szCs w:val="28"/>
        </w:rPr>
      </w:pPr>
    </w:p>
    <w:p>
      <w:pPr>
        <w:widowControl w:val="0"/>
        <w:spacing w:before="0" w:after="0"/>
        <w:ind w:firstLine="567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Судья: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Г.В. Капустина</w:t>
      </w:r>
    </w:p>
    <w:p>
      <w:pPr>
        <w:spacing w:before="0" w:after="0"/>
        <w:rPr>
          <w:sz w:val="28"/>
          <w:szCs w:val="28"/>
        </w:rPr>
      </w:pPr>
    </w:p>
    <w:p>
      <w:pPr>
        <w:spacing w:before="0" w:after="0"/>
        <w:rPr>
          <w:sz w:val="28"/>
          <w:szCs w:val="28"/>
        </w:rPr>
      </w:pPr>
    </w:p>
    <w:p>
      <w:pPr>
        <w:spacing w:before="0" w:after="0"/>
        <w:rPr>
          <w:sz w:val="28"/>
          <w:szCs w:val="28"/>
        </w:rPr>
      </w:pPr>
    </w:p>
    <w:p>
      <w:pPr>
        <w:spacing w:before="0" w:after="0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sectPr>
      <w:head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</w:p>
  <w:p>
    <w:pPr>
      <w:spacing w:before="0" w:after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6rplc-3">
    <w:name w:val="cat-FIO grp-6 rplc-3"/>
    <w:basedOn w:val="DefaultParagraphFont"/>
  </w:style>
  <w:style w:type="character" w:customStyle="1" w:styleId="cat-Sumgrp-15rplc-7">
    <w:name w:val="cat-Sum grp-15 rplc-7"/>
    <w:basedOn w:val="DefaultParagraphFont"/>
  </w:style>
  <w:style w:type="character" w:customStyle="1" w:styleId="cat-Sumgrp-16rplc-8">
    <w:name w:val="cat-Sum grp-16 rplc-8"/>
    <w:basedOn w:val="DefaultParagraphFont"/>
  </w:style>
  <w:style w:type="character" w:customStyle="1" w:styleId="cat-Sumgrp-17rplc-10">
    <w:name w:val="cat-Sum grp-17 rplc-10"/>
    <w:basedOn w:val="DefaultParagraphFont"/>
  </w:style>
  <w:style w:type="character" w:customStyle="1" w:styleId="cat-Sumgrp-15rplc-11">
    <w:name w:val="cat-Sum grp-15 rplc-11"/>
    <w:basedOn w:val="DefaultParagraphFont"/>
  </w:style>
  <w:style w:type="character" w:customStyle="1" w:styleId="cat-Sumgrp-18rplc-12">
    <w:name w:val="cat-Sum grp-18 rplc-12"/>
    <w:basedOn w:val="DefaultParagraphFont"/>
  </w:style>
  <w:style w:type="character" w:customStyle="1" w:styleId="cat-Sumgrp-19rplc-13">
    <w:name w:val="cat-Sum grp-19 rplc-13"/>
    <w:basedOn w:val="DefaultParagraphFont"/>
  </w:style>
  <w:style w:type="character" w:customStyle="1" w:styleId="cat-Sumgrp-17rplc-18">
    <w:name w:val="cat-Sum grp-17 rplc-18"/>
    <w:basedOn w:val="DefaultParagraphFont"/>
  </w:style>
  <w:style w:type="character" w:customStyle="1" w:styleId="cat-PhoneNumbergrp-25rplc-19">
    <w:name w:val="cat-PhoneNumber grp-25 rplc-19"/>
    <w:basedOn w:val="DefaultParagraphFont"/>
  </w:style>
  <w:style w:type="character" w:customStyle="1" w:styleId="cat-Sumgrp-17rplc-20">
    <w:name w:val="cat-Sum grp-17 rplc-20"/>
    <w:basedOn w:val="DefaultParagraphFont"/>
  </w:style>
  <w:style w:type="character" w:customStyle="1" w:styleId="cat-FIOgrp-9rplc-21">
    <w:name w:val="cat-FIO grp-9 rplc-21"/>
    <w:basedOn w:val="DefaultParagraphFont"/>
  </w:style>
  <w:style w:type="character" w:customStyle="1" w:styleId="cat-Sumgrp-15rplc-22">
    <w:name w:val="cat-Sum grp-15 rplc-22"/>
    <w:basedOn w:val="DefaultParagraphFont"/>
  </w:style>
  <w:style w:type="character" w:customStyle="1" w:styleId="cat-Sumgrp-18rplc-23">
    <w:name w:val="cat-Sum grp-18 rplc-23"/>
    <w:basedOn w:val="DefaultParagraphFont"/>
  </w:style>
  <w:style w:type="character" w:customStyle="1" w:styleId="cat-Sumgrp-19rplc-24">
    <w:name w:val="cat-Sum grp-19 rplc-24"/>
    <w:basedOn w:val="DefaultParagraphFont"/>
  </w:style>
  <w:style w:type="character" w:customStyle="1" w:styleId="cat-FIOgrp-10rplc-25">
    <w:name w:val="cat-FIO grp-10 rplc-25"/>
    <w:basedOn w:val="DefaultParagraphFont"/>
  </w:style>
  <w:style w:type="character" w:customStyle="1" w:styleId="cat-FIOgrp-11rplc-27">
    <w:name w:val="cat-FIO grp-11 rplc-27"/>
    <w:basedOn w:val="DefaultParagraphFont"/>
  </w:style>
  <w:style w:type="character" w:customStyle="1" w:styleId="cat-FIOgrp-11rplc-28">
    <w:name w:val="cat-FIO grp-11 rplc-28"/>
    <w:basedOn w:val="DefaultParagraphFont"/>
  </w:style>
  <w:style w:type="character" w:customStyle="1" w:styleId="cat-Addressgrp-1rplc-29">
    <w:name w:val="cat-Address grp-1 rplc-29"/>
    <w:basedOn w:val="DefaultParagraphFont"/>
  </w:style>
  <w:style w:type="character" w:customStyle="1" w:styleId="cat-Addressgrp-2rplc-30">
    <w:name w:val="cat-Address grp-2 rplc-30"/>
    <w:basedOn w:val="DefaultParagraphFont"/>
  </w:style>
  <w:style w:type="character" w:customStyle="1" w:styleId="cat-Addressgrp-0rplc-31">
    <w:name w:val="cat-Address grp-0 rplc-31"/>
    <w:basedOn w:val="DefaultParagraphFont"/>
  </w:style>
  <w:style w:type="character" w:customStyle="1" w:styleId="cat-Addressgrp-3rplc-32">
    <w:name w:val="cat-Address grp-3 rplc-32"/>
    <w:basedOn w:val="DefaultParagraphFont"/>
  </w:style>
  <w:style w:type="character" w:customStyle="1" w:styleId="cat-CarMakeModelgrp-23rplc-33">
    <w:name w:val="cat-CarMakeModel grp-23 rplc-33"/>
    <w:basedOn w:val="DefaultParagraphFont"/>
  </w:style>
  <w:style w:type="character" w:customStyle="1" w:styleId="cat-CarNumbergrp-24rplc-34">
    <w:name w:val="cat-CarNumber grp-24 rplc-34"/>
    <w:basedOn w:val="DefaultParagraphFont"/>
  </w:style>
  <w:style w:type="character" w:customStyle="1" w:styleId="cat-Sumgrp-15rplc-36">
    <w:name w:val="cat-Sum grp-15 rplc-36"/>
    <w:basedOn w:val="DefaultParagraphFont"/>
  </w:style>
  <w:style w:type="character" w:customStyle="1" w:styleId="cat-Sumgrp-16rplc-37">
    <w:name w:val="cat-Sum grp-16 rplc-37"/>
    <w:basedOn w:val="DefaultParagraphFont"/>
  </w:style>
  <w:style w:type="character" w:customStyle="1" w:styleId="cat-PassportDatagrp-22rplc-41">
    <w:name w:val="cat-PassportData grp-22 rplc-41"/>
    <w:basedOn w:val="DefaultParagraphFont"/>
  </w:style>
  <w:style w:type="character" w:customStyle="1" w:styleId="cat-Sumgrp-20rplc-42">
    <w:name w:val="cat-Sum grp-20 rplc-42"/>
    <w:basedOn w:val="DefaultParagraphFont"/>
  </w:style>
  <w:style w:type="character" w:customStyle="1" w:styleId="cat-Sumgrp-21rplc-43">
    <w:name w:val="cat-Sum grp-21 rplc-43"/>
    <w:basedOn w:val="DefaultParagraphFont"/>
  </w:style>
  <w:style w:type="character" w:customStyle="1" w:styleId="cat-Addressgrp-0rplc-44">
    <w:name w:val="cat-Address grp-0 rplc-44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