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jc w:val="right"/>
        <w:outlineLvl w:val="9"/>
        <w:rPr>
          <w:b/>
          <w:bCs/>
          <w:sz w:val="20"/>
          <w:szCs w:val="20"/>
        </w:rPr>
      </w:pPr>
      <w:r>
        <w:rPr>
          <w:b w:val="0"/>
          <w:bCs w:val="0"/>
          <w:i w:val="0"/>
          <w:sz w:val="20"/>
          <w:szCs w:val="20"/>
          <w:highlight w:val="none"/>
        </w:rPr>
        <w:t xml:space="preserve">Уникальный идентификатор дела </w:t>
      </w:r>
    </w:p>
    <w:p>
      <w:pPr>
        <w:pStyle w:val="Heading1"/>
        <w:spacing w:before="0" w:after="0"/>
        <w:jc w:val="right"/>
        <w:outlineLvl w:val="9"/>
        <w:rPr>
          <w:b/>
          <w:bCs/>
          <w:sz w:val="20"/>
          <w:szCs w:val="20"/>
        </w:rPr>
      </w:pPr>
      <w:r>
        <w:rPr>
          <w:b w:val="0"/>
          <w:bCs w:val="0"/>
          <w:i w:val="0"/>
          <w:sz w:val="20"/>
          <w:szCs w:val="20"/>
          <w:highlight w:val="none"/>
        </w:rPr>
        <w:t>77RS0029-02-2021-002019-19</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rStyle w:val="DefaultParagraphFont"/>
          <w:sz w:val="28"/>
          <w:szCs w:val="28"/>
        </w:rPr>
      </w:pPr>
      <w:r>
        <w:rPr>
          <w:rStyle w:val="cat-Dategrp-3rplc-0"/>
          <w:rFonts w:ascii="Times New Roman" w:eastAsia="Times New Roman" w:hAnsi="Times New Roman" w:cs="Times New Roman"/>
          <w:sz w:val="28"/>
          <w:szCs w:val="28"/>
          <w:highlight w:val="none"/>
        </w:rPr>
        <w:t>дата</w:t>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rStyle w:val="cat-Addressgrp-0rplc-1"/>
          <w:b w:val="0"/>
          <w:bCs w:val="0"/>
          <w:i w:val="0"/>
          <w:sz w:val="28"/>
          <w:szCs w:val="28"/>
          <w:highlight w:val="none"/>
        </w:rPr>
        <w:t>адрес</w:t>
      </w:r>
    </w:p>
    <w:p>
      <w:pPr>
        <w:spacing w:before="0" w:after="0"/>
        <w:jc w:val="both"/>
        <w:rPr>
          <w:sz w:val="28"/>
          <w:szCs w:val="28"/>
        </w:rPr>
      </w:pPr>
      <w:r>
        <w:rPr>
          <w:rFonts w:ascii="Times New Roman" w:eastAsia="Times New Roman" w:hAnsi="Times New Roman" w:cs="Times New Roman"/>
          <w:sz w:val="28"/>
          <w:szCs w:val="28"/>
          <w:highlight w:val="none"/>
        </w:rPr>
        <w:t xml:space="preserve">составе председательствующего судьи </w:t>
      </w:r>
      <w:r>
        <w:rPr>
          <w:rFonts w:ascii="Times New Roman" w:eastAsia="Times New Roman" w:hAnsi="Times New Roman" w:cs="Times New Roman"/>
          <w:sz w:val="28"/>
          <w:szCs w:val="28"/>
          <w:highlight w:val="none"/>
        </w:rPr>
        <w:t>Уткиной О.В.,</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Fonts w:ascii="Times New Roman" w:eastAsia="Times New Roman" w:hAnsi="Times New Roman" w:cs="Times New Roman"/>
          <w:sz w:val="28"/>
          <w:szCs w:val="28"/>
          <w:highlight w:val="none"/>
        </w:rPr>
        <w:t>Пожидаевой С.И.</w:t>
      </w:r>
      <w:r>
        <w:rPr>
          <w:rFonts w:ascii="Times New Roman" w:eastAsia="Times New Roman" w:hAnsi="Times New Roman" w:cs="Times New Roman"/>
          <w:sz w:val="28"/>
          <w:szCs w:val="28"/>
          <w:highlight w:val="none"/>
        </w:rPr>
        <w:t>,</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1912</w:t>
      </w:r>
      <w:r>
        <w:rPr>
          <w:rFonts w:ascii="Times New Roman" w:eastAsia="Times New Roman" w:hAnsi="Times New Roman" w:cs="Times New Roman"/>
          <w:sz w:val="28"/>
          <w:szCs w:val="28"/>
          <w:highlight w:val="none"/>
        </w:rPr>
        <w:t xml:space="preserve">/21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Коменданту Сергею Николаевичу</w:t>
      </w:r>
      <w:r>
        <w:rPr>
          <w:rFonts w:ascii="Times New Roman" w:eastAsia="Times New Roman" w:hAnsi="Times New Roman" w:cs="Times New Roman"/>
          <w:sz w:val="28"/>
          <w:szCs w:val="28"/>
          <w:highlight w:val="none"/>
        </w:rPr>
        <w:t xml:space="preserve"> о взыскании задолженности по кредитной карте, </w:t>
      </w:r>
    </w:p>
    <w:p>
      <w:pPr>
        <w:pStyle w:val="Heading1"/>
        <w:spacing w:before="0" w:after="0"/>
        <w:jc w:val="center"/>
        <w:outlineLvl w:val="9"/>
        <w:rPr>
          <w:b/>
          <w:bCs/>
          <w:sz w:val="28"/>
          <w:szCs w:val="28"/>
        </w:rPr>
      </w:pPr>
      <w:r>
        <w:rPr>
          <w:b w:val="0"/>
          <w:bCs w:val="0"/>
          <w:i w:val="0"/>
          <w:sz w:val="28"/>
          <w:szCs w:val="28"/>
          <w:highlight w:val="none"/>
        </w:rPr>
        <w:t xml:space="preserve">установил: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ПАО Сбербанк в лице филиала Московского банка обратилось в суд с иском к </w:t>
      </w:r>
      <w:r>
        <w:rPr>
          <w:rFonts w:ascii="Times New Roman" w:eastAsia="Times New Roman" w:hAnsi="Times New Roman" w:cs="Times New Roman"/>
          <w:sz w:val="28"/>
          <w:szCs w:val="28"/>
          <w:highlight w:val="none"/>
        </w:rPr>
        <w:t>Коменданту С.Н.</w:t>
      </w:r>
      <w:r>
        <w:rPr>
          <w:rFonts w:ascii="Times New Roman" w:eastAsia="Times New Roman" w:hAnsi="Times New Roman" w:cs="Times New Roman"/>
          <w:sz w:val="28"/>
          <w:szCs w:val="28"/>
          <w:highlight w:val="none"/>
        </w:rPr>
        <w:t xml:space="preserve"> о взыскании задолженности по кредитному карте в размере</w:t>
      </w:r>
      <w:r>
        <w:rPr>
          <w:rFonts w:ascii="Times New Roman" w:eastAsia="Times New Roman" w:hAnsi="Times New Roman" w:cs="Times New Roman"/>
          <w:sz w:val="28"/>
          <w:szCs w:val="28"/>
          <w:highlight w:val="none"/>
        </w:rPr>
        <w:t xml:space="preserve"> </w:t>
      </w:r>
      <w:r>
        <w:rPr>
          <w:rStyle w:val="cat-Sumgrp-11rplc-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 сумму просроченного основного долга в размере </w:t>
      </w:r>
      <w:r>
        <w:rPr>
          <w:rStyle w:val="cat-Sumgrp-12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сумму просроченных процентов в размере</w:t>
      </w:r>
      <w:r>
        <w:rPr>
          <w:rFonts w:ascii="Times New Roman" w:eastAsia="Times New Roman" w:hAnsi="Times New Roman" w:cs="Times New Roman"/>
          <w:sz w:val="28"/>
          <w:szCs w:val="28"/>
          <w:highlight w:val="none"/>
        </w:rPr>
        <w:t xml:space="preserve"> </w:t>
      </w:r>
      <w:r>
        <w:rPr>
          <w:rStyle w:val="cat-Sumgrp-13rplc-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Style w:val="cat-Sumgrp-14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расходы по уплате государственной пошлины в размере </w:t>
      </w:r>
      <w:r>
        <w:rPr>
          <w:rStyle w:val="cat-Sumgrp-15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указывая, что </w:t>
      </w:r>
      <w:r>
        <w:rPr>
          <w:rStyle w:val="cat-Dategrp-4rplc-11"/>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(ранее – </w:t>
      </w:r>
      <w:r>
        <w:rPr>
          <w:rFonts w:ascii="Times New Roman" w:eastAsia="Times New Roman" w:hAnsi="Times New Roman" w:cs="Times New Roman"/>
          <w:sz w:val="28"/>
          <w:szCs w:val="28"/>
          <w:highlight w:val="none"/>
        </w:rPr>
        <w:t>ОАО «Сбербанк России»</w:t>
      </w:r>
      <w:r>
        <w:rPr>
          <w:rFonts w:ascii="Times New Roman" w:eastAsia="Times New Roman" w:hAnsi="Times New Roman" w:cs="Times New Roman"/>
          <w:sz w:val="28"/>
          <w:szCs w:val="28"/>
          <w:highlight w:val="none"/>
        </w:rPr>
        <w:t xml:space="preserve">) и </w:t>
      </w:r>
      <w:r>
        <w:rPr>
          <w:rFonts w:ascii="Times New Roman" w:eastAsia="Times New Roman" w:hAnsi="Times New Roman" w:cs="Times New Roman"/>
          <w:sz w:val="28"/>
          <w:szCs w:val="28"/>
          <w:highlight w:val="none"/>
        </w:rPr>
        <w:t>Комендантом С.Н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результате публичной оферты был заключен договор (эмиссионный контракт №0910-Р-</w:t>
      </w:r>
      <w:r>
        <w:rPr>
          <w:rFonts w:ascii="Times New Roman" w:eastAsia="Times New Roman" w:hAnsi="Times New Roman" w:cs="Times New Roman"/>
          <w:sz w:val="28"/>
          <w:szCs w:val="28"/>
          <w:highlight w:val="none"/>
        </w:rPr>
        <w:t>9592124920</w:t>
      </w:r>
      <w:r>
        <w:rPr>
          <w:rFonts w:ascii="Times New Roman" w:eastAsia="Times New Roman" w:hAnsi="Times New Roman" w:cs="Times New Roman"/>
          <w:sz w:val="28"/>
          <w:szCs w:val="28"/>
          <w:highlight w:val="none"/>
        </w:rPr>
        <w:t xml:space="preserve">)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путем оформления ответчиком заявления на получение кредитной карты 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 xml:space="preserve">d </w:t>
      </w:r>
      <w:r>
        <w:rPr>
          <w:rFonts w:ascii="Times New Roman" w:eastAsia="Times New Roman" w:hAnsi="Times New Roman" w:cs="Times New Roman"/>
          <w:sz w:val="28"/>
          <w:szCs w:val="28"/>
          <w:highlight w:val="none"/>
        </w:rPr>
        <w:t xml:space="preserve">с лимитом кредита </w:t>
      </w:r>
      <w:r>
        <w:rPr>
          <w:rStyle w:val="cat-Sumgrp-16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 условиях «до востребования», под 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 Банк свои обязательства исполнил, предоставив кредит по карте Сбербанка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d</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Истец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spacing w:before="0" w:after="0"/>
        <w:ind w:firstLine="708"/>
        <w:jc w:val="both"/>
        <w:rPr>
          <w:sz w:val="28"/>
          <w:szCs w:val="28"/>
        </w:rPr>
      </w:pPr>
      <w:r>
        <w:rPr>
          <w:rFonts w:ascii="Times New Roman" w:eastAsia="Times New Roman" w:hAnsi="Times New Roman" w:cs="Times New Roman"/>
          <w:sz w:val="28"/>
          <w:szCs w:val="28"/>
          <w:highlight w:val="none"/>
        </w:rPr>
        <w:t>Ответчик о месте и времени судебного заседания извещался надлежащим образом по известному месту жительства, тем не менее, в судебное заседание не явился, явку представителя не обеспечил</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В силу ст. 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правовой позиции, изложенной в Постановлении Пленума Верховного Суда РФ от </w:t>
      </w:r>
      <w:r>
        <w:rPr>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 67 Постановления Пленума Верховного Суда Российской Федерации № 25 от </w:t>
      </w:r>
      <w:r>
        <w:rPr>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суд посчитал возможным в силу ст. 167 ГПК РФ рассмотреть настоящий спор по существу в отсутствие не явившегося ответчика. </w:t>
      </w:r>
    </w:p>
    <w:p>
      <w:pPr>
        <w:spacing w:before="0" w:after="0"/>
        <w:ind w:firstLine="709"/>
        <w:jc w:val="both"/>
        <w:rPr>
          <w:sz w:val="28"/>
          <w:szCs w:val="28"/>
        </w:rPr>
      </w:pPr>
      <w:r>
        <w:rPr>
          <w:rFonts w:ascii="Times New Roman" w:eastAsia="Times New Roman" w:hAnsi="Times New Roman" w:cs="Times New Roman"/>
          <w:sz w:val="28"/>
          <w:szCs w:val="28"/>
          <w:highlight w:val="none"/>
        </w:rPr>
        <w:t>Суд, исследовав письменные материалы дела, оценив доказательства в совокупности, приходит к следующему.</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силу ст. 309 ГК РФ, обязательства должны исполняться надлежащим образом в соответствии с условиями обязательства и требованиями закона, </w:t>
      </w:r>
      <w:r>
        <w:rPr>
          <w:rFonts w:ascii="Times New Roman" w:eastAsia="Times New Roman" w:hAnsi="Times New Roman" w:cs="Times New Roman"/>
          <w:sz w:val="28"/>
          <w:szCs w:val="28"/>
          <w:highlight w:val="none"/>
        </w:rPr>
        <w:t>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Как установлено в судебном заседании, </w:t>
      </w:r>
      <w:r>
        <w:rPr>
          <w:rStyle w:val="cat-Dategrp-4rplc-15"/>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(ранее – </w:t>
      </w:r>
      <w:r>
        <w:rPr>
          <w:rFonts w:ascii="Times New Roman" w:eastAsia="Times New Roman" w:hAnsi="Times New Roman" w:cs="Times New Roman"/>
          <w:sz w:val="28"/>
          <w:szCs w:val="28"/>
          <w:highlight w:val="none"/>
        </w:rPr>
        <w:t>ОАО «Сбербанк России»</w:t>
      </w:r>
      <w:r>
        <w:rPr>
          <w:rFonts w:ascii="Times New Roman" w:eastAsia="Times New Roman" w:hAnsi="Times New Roman" w:cs="Times New Roman"/>
          <w:sz w:val="28"/>
          <w:szCs w:val="28"/>
          <w:highlight w:val="none"/>
        </w:rPr>
        <w:t xml:space="preserve">) и </w:t>
      </w:r>
      <w:r>
        <w:rPr>
          <w:rFonts w:ascii="Times New Roman" w:eastAsia="Times New Roman" w:hAnsi="Times New Roman" w:cs="Times New Roman"/>
          <w:sz w:val="28"/>
          <w:szCs w:val="28"/>
          <w:highlight w:val="none"/>
        </w:rPr>
        <w:t>Комендантом С.Н.</w:t>
      </w:r>
      <w:r>
        <w:rPr>
          <w:rFonts w:ascii="Times New Roman" w:eastAsia="Times New Roman" w:hAnsi="Times New Roman" w:cs="Times New Roman"/>
          <w:sz w:val="28"/>
          <w:szCs w:val="28"/>
          <w:highlight w:val="none"/>
        </w:rPr>
        <w:t xml:space="preserve"> в результате публичной оферты был заключен договор (эмиссионный контракт №0910-Р-</w:t>
      </w:r>
      <w:r>
        <w:rPr>
          <w:rFonts w:ascii="Times New Roman" w:eastAsia="Times New Roman" w:hAnsi="Times New Roman" w:cs="Times New Roman"/>
          <w:sz w:val="28"/>
          <w:szCs w:val="28"/>
          <w:highlight w:val="none"/>
        </w:rPr>
        <w:t>9592124920</w:t>
      </w:r>
      <w:r>
        <w:rPr>
          <w:rFonts w:ascii="Times New Roman" w:eastAsia="Times New Roman" w:hAnsi="Times New Roman" w:cs="Times New Roman"/>
          <w:sz w:val="28"/>
          <w:szCs w:val="28"/>
          <w:highlight w:val="none"/>
        </w:rPr>
        <w:t xml:space="preserve">)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путем оформления ответчиком заявления на получение кредитной карты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 xml:space="preserve">d </w:t>
      </w:r>
      <w:r>
        <w:rPr>
          <w:rFonts w:ascii="Times New Roman" w:eastAsia="Times New Roman" w:hAnsi="Times New Roman" w:cs="Times New Roman"/>
          <w:sz w:val="28"/>
          <w:szCs w:val="28"/>
          <w:highlight w:val="none"/>
        </w:rPr>
        <w:t xml:space="preserve">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MasterCar</w:t>
      </w:r>
      <w:r>
        <w:rPr>
          <w:rFonts w:ascii="Times New Roman" w:eastAsia="Times New Roman" w:hAnsi="Times New Roman" w:cs="Times New Roman"/>
          <w:sz w:val="28"/>
          <w:szCs w:val="28"/>
          <w:highlight w:val="none"/>
        </w:rPr>
        <w:t xml:space="preserve">d </w:t>
      </w:r>
      <w:r>
        <w:rPr>
          <w:rFonts w:ascii="Times New Roman" w:eastAsia="Times New Roman" w:hAnsi="Times New Roman" w:cs="Times New Roman"/>
          <w:sz w:val="28"/>
          <w:szCs w:val="28"/>
          <w:highlight w:val="none"/>
        </w:rPr>
        <w:t xml:space="preserve">с лимитом кредита </w:t>
      </w:r>
      <w:r>
        <w:rPr>
          <w:rStyle w:val="cat-Sumgrp-16rplc-1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 условиях «до востребования», с одновременным уменьшением доступного лимита кредита под 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 </w:t>
      </w:r>
      <w:r>
        <w:rPr>
          <w:rStyle w:val="cat-Addressgrp-1rplc-1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условиях выпуска и обслуживания кредитной карты Сбербанка России, на сумму основного долга начисляются проценты за пользование кредитом в соответствии с правилами, определенными в общих условиях, по ставке 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,9%.</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Условиям, погашения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w:t>
      </w:r>
      <w:r>
        <w:rPr>
          <w:rStyle w:val="cat-Addressgrp-2rplc-2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условиях выпуска и обслуживания кредитной карты Сбербанка России, за несвоевременное погашение обязательных платежей взимается неустойка в размере 36%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 рассчитанной по дату оплаты суммы просроченного основного долга в полном объеме. </w:t>
      </w:r>
    </w:p>
    <w:p>
      <w:pPr>
        <w:spacing w:before="0" w:after="0"/>
        <w:ind w:firstLine="709"/>
        <w:jc w:val="both"/>
        <w:rPr>
          <w:sz w:val="28"/>
          <w:szCs w:val="28"/>
        </w:rPr>
      </w:pPr>
      <w:r>
        <w:rPr>
          <w:rFonts w:ascii="Times New Roman" w:eastAsia="Times New Roman" w:hAnsi="Times New Roman" w:cs="Times New Roman"/>
          <w:sz w:val="28"/>
          <w:szCs w:val="28"/>
          <w:highlight w:val="none"/>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Факт </w:t>
      </w:r>
      <w:r>
        <w:rPr>
          <w:rFonts w:ascii="Times New Roman" w:eastAsia="Times New Roman" w:hAnsi="Times New Roman" w:cs="Times New Roman"/>
          <w:sz w:val="28"/>
          <w:szCs w:val="28"/>
          <w:highlight w:val="none"/>
        </w:rPr>
        <w:t xml:space="preserve">неисполнения ответчиком условий </w:t>
      </w:r>
      <w:r>
        <w:rPr>
          <w:rFonts w:ascii="Times New Roman" w:eastAsia="Times New Roman" w:hAnsi="Times New Roman" w:cs="Times New Roman"/>
          <w:sz w:val="28"/>
          <w:szCs w:val="28"/>
          <w:highlight w:val="none"/>
        </w:rPr>
        <w:t>договора, подтверждается представленным суду расчетом задолженности</w:t>
      </w:r>
      <w:r>
        <w:rPr>
          <w:rFonts w:ascii="Times New Roman" w:eastAsia="Times New Roman" w:hAnsi="Times New Roman" w:cs="Times New Roman"/>
          <w:sz w:val="28"/>
          <w:szCs w:val="28"/>
          <w:highlight w:val="none"/>
        </w:rPr>
        <w:t>, выпиской по счету,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Поскольку ответчик не исполняет обязательств по договору от </w:t>
      </w:r>
      <w:r>
        <w:rPr>
          <w:rStyle w:val="cat-Dategrp-4rplc-21"/>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а доказательств обратного суду в силу ст. 56 ГПК РФ не представлено, суд взыскивает с ответчика в пользу истца сумму просроченного основного долга в размере </w:t>
      </w:r>
      <w:r>
        <w:rPr>
          <w:rStyle w:val="cat-Sumgrp-12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13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неустойку в размере</w:t>
      </w:r>
      <w:r>
        <w:rPr>
          <w:rFonts w:ascii="Times New Roman" w:eastAsia="Times New Roman" w:hAnsi="Times New Roman" w:cs="Times New Roman"/>
          <w:sz w:val="28"/>
          <w:szCs w:val="28"/>
          <w:highlight w:val="none"/>
        </w:rPr>
        <w:t xml:space="preserve"> </w:t>
      </w:r>
      <w:r>
        <w:rPr>
          <w:rStyle w:val="cat-Sumgrp-14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согласно расчету представленному истцом, оснований не доверять которому у суда не имеется, контр расчет ответчиком суду не представлен.</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со ст.98 ГПК РФ, суд взыскивает с ответчика в пользу истца уплаченную сумму государственной пошлины в размере </w:t>
      </w:r>
      <w:r>
        <w:rPr>
          <w:rStyle w:val="cat-Sumgrp-15rplc-25"/>
          <w:rFonts w:ascii="Times New Roman" w:eastAsia="Times New Roman" w:hAnsi="Times New Roman" w:cs="Times New Roman"/>
          <w:sz w:val="28"/>
          <w:szCs w:val="28"/>
          <w:highlight w:val="none"/>
        </w:rPr>
        <w:t>сумма</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На основании изложенного и руководствуясь ст.ст.194-199 ГПК РФ, суд </w:t>
      </w:r>
    </w:p>
    <w:p>
      <w:pPr>
        <w:pStyle w:val="Heading1"/>
        <w:spacing w:before="0" w:after="0"/>
        <w:jc w:val="center"/>
        <w:outlineLvl w:val="9"/>
        <w:rPr>
          <w:b/>
          <w:bCs/>
          <w:sz w:val="28"/>
          <w:szCs w:val="28"/>
        </w:rPr>
      </w:pPr>
      <w:r>
        <w:rPr>
          <w:b w:val="0"/>
          <w:bCs w:val="0"/>
          <w:i w:val="0"/>
          <w:sz w:val="28"/>
          <w:szCs w:val="28"/>
          <w:highlight w:val="none"/>
        </w:rPr>
        <w:t>РЕШИЛ:</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Исковые требования ПАО Сбербанк в лице филиала – Московского банка ПАО Сбербанк к </w:t>
      </w:r>
      <w:r>
        <w:rPr>
          <w:rFonts w:ascii="Times New Roman" w:eastAsia="Times New Roman" w:hAnsi="Times New Roman" w:cs="Times New Roman"/>
          <w:sz w:val="28"/>
          <w:szCs w:val="28"/>
          <w:highlight w:val="none"/>
        </w:rPr>
        <w:t>Коменданту Сергею Николаевичу</w:t>
      </w:r>
      <w:r>
        <w:rPr>
          <w:rFonts w:ascii="Times New Roman" w:eastAsia="Times New Roman" w:hAnsi="Times New Roman" w:cs="Times New Roman"/>
          <w:sz w:val="28"/>
          <w:szCs w:val="28"/>
          <w:highlight w:val="none"/>
        </w:rPr>
        <w:t xml:space="preserve"> о взыскании задолженности по кредитной карте, удовлетворить.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Коменданта Сергея Николаевича</w:t>
      </w:r>
      <w:r>
        <w:rPr>
          <w:rFonts w:ascii="Times New Roman" w:eastAsia="Times New Roman" w:hAnsi="Times New Roman" w:cs="Times New Roman"/>
          <w:sz w:val="28"/>
          <w:szCs w:val="28"/>
          <w:highlight w:val="none"/>
        </w:rPr>
        <w:t xml:space="preserve"> в пользу ПАО Сбербанк в лице филиала Московского банка в счет задолженности по кредитному карте сумму просроченного основного долга в размере </w:t>
      </w:r>
      <w:r>
        <w:rPr>
          <w:rStyle w:val="cat-Sumgrp-12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13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Style w:val="cat-Sumgrp-14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расходов по уплате пошлины в размере </w:t>
      </w:r>
      <w:r>
        <w:rPr>
          <w:rStyle w:val="cat-Sumgrp-15rplc-31"/>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r>
        <w:rPr>
          <w:rFonts w:ascii="Times New Roman" w:eastAsia="Times New Roman" w:hAnsi="Times New Roman" w:cs="Times New Roman"/>
          <w:sz w:val="28"/>
          <w:szCs w:val="28"/>
          <w:highlight w:val="none"/>
        </w:rPr>
        <w:t xml:space="preserve"> со дня принятия решения судом в окончательной форме</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Судья:</w:t>
      </w:r>
    </w:p>
    <w:p>
      <w:pPr>
        <w:spacing w:before="0" w:after="0"/>
        <w:ind w:firstLine="709"/>
        <w:rPr>
          <w:sz w:val="28"/>
          <w:szCs w:val="28"/>
        </w:rPr>
      </w:pPr>
    </w:p>
    <w:p>
      <w:pPr>
        <w:spacing w:before="0" w:after="0"/>
        <w:ind w:firstLine="709"/>
        <w:rPr>
          <w:sz w:val="28"/>
          <w:szCs w:val="28"/>
        </w:rPr>
      </w:pPr>
      <w:r>
        <w:rPr>
          <w:rFonts w:ascii="Times New Roman" w:eastAsia="Times New Roman" w:hAnsi="Times New Roman" w:cs="Times New Roman"/>
          <w:sz w:val="28"/>
          <w:szCs w:val="28"/>
          <w:highlight w:val="none"/>
        </w:rPr>
        <w:t xml:space="preserve">Решение изготовлено в окончательной форме </w:t>
      </w:r>
      <w:r>
        <w:rPr>
          <w:rStyle w:val="cat-Dategrp-5rplc-32"/>
          <w:rFonts w:ascii="Times New Roman" w:eastAsia="Times New Roman" w:hAnsi="Times New Roman" w:cs="Times New Roman"/>
          <w:sz w:val="28"/>
          <w:szCs w:val="28"/>
          <w:highlight w:val="none"/>
        </w:rPr>
        <w:t>дата</w:t>
      </w: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3rplc-0">
    <w:name w:val="cat-Date grp-3 rplc-0"/>
    <w:basedOn w:val="DefaultParagraphFont"/>
  </w:style>
  <w:style w:type="character" w:customStyle="1" w:styleId="cat-Addressgrp-0rplc-1">
    <w:name w:val="cat-Address grp-0 rplc-1"/>
    <w:basedOn w:val="DefaultParagraphFont"/>
  </w:style>
  <w:style w:type="character" w:customStyle="1" w:styleId="cat-Sumgrp-11rplc-6">
    <w:name w:val="cat-Sum grp-11 rplc-6"/>
    <w:basedOn w:val="DefaultParagraphFont"/>
  </w:style>
  <w:style w:type="character" w:customStyle="1" w:styleId="cat-Sumgrp-12rplc-7">
    <w:name w:val="cat-Sum grp-12 rplc-7"/>
    <w:basedOn w:val="DefaultParagraphFont"/>
  </w:style>
  <w:style w:type="character" w:customStyle="1" w:styleId="cat-Sumgrp-13rplc-8">
    <w:name w:val="cat-Sum grp-13 rplc-8"/>
    <w:basedOn w:val="DefaultParagraphFont"/>
  </w:style>
  <w:style w:type="character" w:customStyle="1" w:styleId="cat-Sumgrp-14rplc-9">
    <w:name w:val="cat-Sum grp-14 rplc-9"/>
    <w:basedOn w:val="DefaultParagraphFont"/>
  </w:style>
  <w:style w:type="character" w:customStyle="1" w:styleId="cat-Sumgrp-15rplc-10">
    <w:name w:val="cat-Sum grp-15 rplc-10"/>
    <w:basedOn w:val="DefaultParagraphFont"/>
  </w:style>
  <w:style w:type="character" w:customStyle="1" w:styleId="cat-Dategrp-4rplc-11">
    <w:name w:val="cat-Date grp-4 rplc-11"/>
    <w:basedOn w:val="DefaultParagraphFont"/>
  </w:style>
  <w:style w:type="character" w:customStyle="1" w:styleId="cat-Sumgrp-16rplc-14">
    <w:name w:val="cat-Sum grp-16 rplc-14"/>
    <w:basedOn w:val="DefaultParagraphFont"/>
  </w:style>
  <w:style w:type="character" w:customStyle="1" w:styleId="cat-Dategrp-4rplc-15">
    <w:name w:val="cat-Date grp-4 rplc-15"/>
    <w:basedOn w:val="DefaultParagraphFont"/>
  </w:style>
  <w:style w:type="character" w:customStyle="1" w:styleId="cat-Sumgrp-16rplc-18">
    <w:name w:val="cat-Sum grp-16 rplc-18"/>
    <w:basedOn w:val="DefaultParagraphFont"/>
  </w:style>
  <w:style w:type="character" w:customStyle="1" w:styleId="cat-Addressgrp-1rplc-19">
    <w:name w:val="cat-Address grp-1 rplc-19"/>
    <w:basedOn w:val="DefaultParagraphFont"/>
  </w:style>
  <w:style w:type="character" w:customStyle="1" w:styleId="cat-Addressgrp-2rplc-20">
    <w:name w:val="cat-Address grp-2 rplc-20"/>
    <w:basedOn w:val="DefaultParagraphFont"/>
  </w:style>
  <w:style w:type="character" w:customStyle="1" w:styleId="cat-Dategrp-4rplc-21">
    <w:name w:val="cat-Date grp-4 rplc-21"/>
    <w:basedOn w:val="DefaultParagraphFont"/>
  </w:style>
  <w:style w:type="character" w:customStyle="1" w:styleId="cat-Sumgrp-12rplc-22">
    <w:name w:val="cat-Sum grp-12 rplc-22"/>
    <w:basedOn w:val="DefaultParagraphFont"/>
  </w:style>
  <w:style w:type="character" w:customStyle="1" w:styleId="cat-Sumgrp-13rplc-23">
    <w:name w:val="cat-Sum grp-13 rplc-23"/>
    <w:basedOn w:val="DefaultParagraphFont"/>
  </w:style>
  <w:style w:type="character" w:customStyle="1" w:styleId="cat-Sumgrp-14rplc-24">
    <w:name w:val="cat-Sum grp-14 rplc-24"/>
    <w:basedOn w:val="DefaultParagraphFont"/>
  </w:style>
  <w:style w:type="character" w:customStyle="1" w:styleId="cat-Sumgrp-15rplc-25">
    <w:name w:val="cat-Sum grp-15 rplc-25"/>
    <w:basedOn w:val="DefaultParagraphFont"/>
  </w:style>
  <w:style w:type="character" w:customStyle="1" w:styleId="cat-Sumgrp-12rplc-28">
    <w:name w:val="cat-Sum grp-12 rplc-28"/>
    <w:basedOn w:val="DefaultParagraphFont"/>
  </w:style>
  <w:style w:type="character" w:customStyle="1" w:styleId="cat-Sumgrp-13rplc-29">
    <w:name w:val="cat-Sum grp-13 rplc-29"/>
    <w:basedOn w:val="DefaultParagraphFont"/>
  </w:style>
  <w:style w:type="character" w:customStyle="1" w:styleId="cat-Sumgrp-14rplc-30">
    <w:name w:val="cat-Sum grp-14 rplc-30"/>
    <w:basedOn w:val="DefaultParagraphFont"/>
  </w:style>
  <w:style w:type="character" w:customStyle="1" w:styleId="cat-Sumgrp-15rplc-31">
    <w:name w:val="cat-Sum grp-15 rplc-31"/>
    <w:basedOn w:val="DefaultParagraphFont"/>
  </w:style>
  <w:style w:type="character" w:customStyle="1" w:styleId="cat-Dategrp-5rplc-32">
    <w:name w:val="cat-Date grp-5 rplc-3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