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 w:line="28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</w:p>
    <w:p>
      <w:pPr>
        <w:spacing w:before="0" w:after="0" w:line="28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 w:line="280" w:lineRule="atLeast"/>
        <w:ind w:firstLine="567"/>
        <w:jc w:val="center"/>
      </w:pPr>
    </w:p>
    <w:tbl>
      <w:tblPr>
        <w:tblW w:w="9464" w:type="dxa"/>
        <w:tblInd w:w="11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119"/>
        <w:gridCol w:w="1403"/>
        <w:gridCol w:w="3941"/>
      </w:tblGrid>
      <w:tr>
        <w:tblPrEx>
          <w:tblW w:w="9464" w:type="dxa"/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sdt>
              <w:sdtPr>
                <w:alias w:val="Дата"/>
                <w:tag w:val="Дата"/>
                <w:id w:val="1868815644"/>
                <w:placeholder>
                  <w:docPart w:val="DefaultPlaceholder_22675703"/>
                </w:placeholder>
                <w:showingPlcHdr/>
                <w:text/>
              </w:sdtPr>
              <w:sdtContent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>12 декабря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 xml:space="preserve"> 202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 xml:space="preserve"> года</w:t>
                </w:r>
              </w:sdtContent>
            </w:sdt>
          </w:p>
        </w:tc>
        <w:tc>
          <w:tcPr>
            <w:tcW w:w="1276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Style w:val="cat-Addressgrp-0rplc-0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адрес</w:t>
            </w:r>
          </w:p>
        </w:tc>
      </w:tr>
    </w:tbl>
    <w:p>
      <w:pPr>
        <w:spacing w:before="0" w:after="0"/>
        <w:ind w:firstLine="567"/>
        <w:jc w:val="both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Щербинский районный суд </w:t>
      </w:r>
      <w:r>
        <w:rPr>
          <w:rStyle w:val="cat-Addressgrp-1rplc-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составе председательствующего судьи </w:t>
      </w:r>
      <w:r>
        <w:rPr>
          <w:rStyle w:val="cat-FIOgrp-3rplc-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секретаре </w:t>
      </w:r>
      <w:r>
        <w:rPr>
          <w:rStyle w:val="cat-FIOgrp-4rplc-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рассмотрев в открытом судебном заседании гражданское дело № </w:t>
      </w:r>
      <w:sdt>
        <w:sdtPr>
          <w:alias w:val="№ дела"/>
          <w:tag w:val="№ дела"/>
          <w:id w:val="201369571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2-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19300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/202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2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sdt>
        <w:sdtPr>
          <w:alias w:val="Суть"/>
          <w:tag w:val="Суть"/>
          <w:id w:val="684334097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по исковому заявлению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ПАО Сбербанк в лице филиала Среднерусский банк ПАО Сбербанк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 к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 Поповой Елизавете Юрьевне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 о взыскании задолженности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 с наследника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 по кредитному договору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УСТАНОВИЛ:</w:t>
      </w:r>
    </w:p>
    <w:p>
      <w:pPr>
        <w:spacing w:before="0" w:after="0" w:line="280" w:lineRule="atLeast"/>
        <w:ind w:firstLine="567"/>
        <w:jc w:val="center"/>
      </w:pP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Истец обратился в суд к ответчику с настоящим исковым заявлением, в обоснование исковых требований указал следующее.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между истцом и </w:t>
      </w:r>
      <w:r>
        <w:rPr>
          <w:rStyle w:val="cat-FIOgrp-6rplc-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заключен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кредит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ный договор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148165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согласно которому истец предоставил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денежные средства в размере </w:t>
      </w:r>
      <w:r>
        <w:rPr>
          <w:rStyle w:val="cat-Sumgrp-15rplc-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сроком на 36 мес.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под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19,9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% годовых, а ответчик обязался погашать основой долг и проценты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 пользование кредитом ежемесячными платежами в размерах и в сроки, установленные условиями договора и графиком платежей,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а также в случае образования неустойку (штраф, пени).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Заемщик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не в полной мере выполн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взятые на себя обязательства по кредитному договору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 информации банка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заемщик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7rplc-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умерла 21.03.2020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открыто наследственное дело № 3/2021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связи с чем,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 период с 15.12.2020 по 25.05.2022 года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образовалась задолженность в размере </w:t>
      </w:r>
      <w:r>
        <w:rPr>
          <w:rStyle w:val="cat-Sumgrp-16rplc-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которая состоит из основного долга в размере </w:t>
      </w:r>
      <w:r>
        <w:rPr>
          <w:rStyle w:val="cat-Sumgrp-17rplc-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просроченных процентов в размере </w:t>
      </w:r>
      <w:r>
        <w:rPr>
          <w:rStyle w:val="cat-Sumgrp-18rplc-1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информации банка, наследником </w:t>
      </w:r>
      <w:r>
        <w:rPr>
          <w:rStyle w:val="cat-FIOgrp-8rplc-11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является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Попова Елизавета Юрьевна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котор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принял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наследство в полном объеме, в связи с чем,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стец, считая свои права как кредитора нарушенными,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просит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расторгнуть кредитный договор,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наследника (ответчика)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образовавшуюся задолженность, а также расходы по оплате госпошлины.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Истец в судебное заседание не явился, извещен надлежащим образом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просил слушать дело в его отсутствии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 в судебное заседание не явился, извещен надлежащим образом.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Учитывая, что реализация участниками гражданского оборота своих прав не должна нарушать права и охраняемые законом интересы других лиц, суд полагает возможным рассмотреть настоящее дело при данной явке сторон.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Суд, исследовав материалы дела, оценив представленные доказательства в их совокупности, с учетом требований ст. 67 ГПК, приходит к следующему выводу.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ст. 819 ГК РФ по кредитному договору банк или иная кредитная организация (кредитор) обязуются предоставить денежные средства (кредит)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810 ГК РФ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ст. ст. 309, 310 ГК РФ обязательства должны исполняться надлежащим образом в соответствии с условиями обязательства и требованиями закона, иных правовых актов. Односторонний отказ от исполнения обязательства и одностороннее изменение его условий не допускаются.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811 ГК РФ, в случае нарушения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процентами за пользование займом, причитающимися на момент его возврата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450 ГК РФ по требованию одной из сторон договор может быть изменен или расторгнут по решению суда при существенном нарушении договора другой стороной.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ст.1110 ГК РФ, при наследовании имущество умершего (наследство, наследственное имущество) переходит к другим лицам в порядке универсального правопреемства. 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1112 ГК РФ,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1152 ГК РФ, принятие наследником части наследства означает принятие всего причитающегося ему наследства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в чем бы оно ни заключалось и где бы оно ни находилось.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1175 ГК РФ, каждый из наследников отвечает по долгам наследодателя в пределах стоимости перешедшего к нему наследственного имущества.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п.59 Постановления Пленума Верховного суда РФ от 29.05.2012 г. № 9 «О судебной практике по делам о наследовании», наследник должника по кредитному договору обязан возвратить кредитору полученную наследодателем денежную сумму и уплатить проценты на неё в срок и в порядке, которые предусмотрены договором займа.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Судом установлено и следует из материалов дела следующее.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21.02.2020 года между истцом и </w:t>
      </w:r>
      <w:r>
        <w:rPr>
          <w:rStyle w:val="cat-FIOgrp-6rplc-1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заключен кредитный договор № 148165, согласно которому истец предоставил ответчику денежные средства в размере </w:t>
      </w:r>
      <w:r>
        <w:rPr>
          <w:rStyle w:val="cat-Sumgrp-15rplc-1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сроком на 36 мес. под 19,9 % годовых, а ответчик обязался погашать основой долг и проценты за пользование кредитом ежемесячными платежами в размерах и в сроки, установленные условиями договора и графиком платежей, а также в случае образования неустойку (штраф, пени).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Заемщик не в полной мере выполнил взятые на себя обязательства по кредитному договору. По информации банка, заемщик, </w:t>
      </w:r>
      <w:r>
        <w:rPr>
          <w:rStyle w:val="cat-FIOgrp-7rplc-1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умерла 21.03.2020 года.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наследственному делу №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3/2021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14 января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года, открытому нотариусом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Талдомской нотариальной конторы </w:t>
      </w:r>
      <w:r>
        <w:rPr>
          <w:rStyle w:val="cat-Addressgrp-2rplc-16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Халиловым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0rplc-1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ответчик,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Попова Елизавета Юрьевна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принял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наследство, </w:t>
      </w:r>
      <w:r>
        <w:rPr>
          <w:rStyle w:val="cat-FIOgrp-8rplc-1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в полном объеме. 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нарушении ст. 56 ГПК РФ ответчик не представил суду каких-либо доказательств обратного, в связи с чем, суд приходит к выводу о законности требований истца о взыскании задолженности с наследника по кредитному договору.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Поскольку при наследовании имущественная масса умершего переходит к другим лицам в порядке универсального правопреемства, то есть в неизменном виде как единое целое и в один и тот же момент,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Сбербанк ПАО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является кредитором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1rplc-2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должник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умерла, не выполнив обязательства в полном объёме по договору кредитования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аследником по закону является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Попова Е.Ю.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котор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вступил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наследство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принял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его в полном объеме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тем самым принял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себя долг наследодателя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перед банком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то указанная задолженность подлежит взысканию с ответчика в пределах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стоимости перешедшего к 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наследственного имущества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При определении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размера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подлежащих ко взысканию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денежных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сумм суд руководствуется представленным истцом расчётом исковых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требований, проверив который, находит его обоснованным, арифметически верным и соглашается с ним и приходит к выводу, что исковые требования должны быть удовлетворены согласно данному расчёту.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учетом изложенного, суд приходит к выводу о том, что, поскольку ответчик допустил значительную просрочку платежей по кредитному договору, что является основанием для предъявления требований истцом по возврату суммы задолженности, то данные обстоятельства являются существенными нарушениями условий договора, в связи с этим суд приходит к выводу, что договор должен быть расторгнут, образовавшаяся задолженность подлежит взысканию с ответчика.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Как указано в ч. 1 ст. 88 ГПК РФ, судебные расходы состоят из государственной пошлины и издержек, связанных с рассмотрением дела. По смыслу ч. 1 ст. 98 ГПК РФ стороне, в пользу которой состоялось решение суда, суд присуждает возместить с другой стороны все понесенные по делу судебные расходы.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Поскольку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иск удовлетворен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полном объеме, судебные расходы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состоящие из расходов по оплате госпошлины в размере </w:t>
      </w:r>
      <w:r>
        <w:rPr>
          <w:rStyle w:val="cat-Sumgrp-19rplc-2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подлежат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взысканию с ответчика.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 основании вышеизложенного, руководствуясь ст. ст. 194-199 ГПК РФ, суд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 w:line="28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РЕШИЛ:</w:t>
      </w:r>
    </w:p>
    <w:p>
      <w:pPr>
        <w:spacing w:before="0" w:after="0" w:line="280" w:lineRule="atLeast"/>
        <w:ind w:firstLine="567"/>
        <w:jc w:val="center"/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филиала Среднерусский банк ПАО Сбербанк к Поповой Елизавете Юрьевне </w:t>
      </w:r>
      <w:sdt>
        <w:sdtPr>
          <w:alias w:val="Суть"/>
          <w:tag w:val="Суть"/>
          <w:id w:val="1806985550"/>
          <w:placeholder>
            <w:docPart w:val="DefaultPlaceholder_22675703"/>
          </w:placeholder>
          <w:showingPlcHdr/>
          <w:text/>
        </w:sdtPr>
        <w:sdtContent/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 взыскании задолженности по кредитному договору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- удовлетворить.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Договор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148165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21.0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года, заключенный между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Среднерусский банк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</w:t>
      </w:r>
      <w:r>
        <w:rPr>
          <w:rStyle w:val="cat-FIOgrp-6rplc-2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- расторгнуть.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Поповой Елизавет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Юрьевн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Style w:val="cat-PassportDatagrp-20rplc-26"/>
          <w:rFonts w:ascii="Times New Roman" w:eastAsia="Times New Roman" w:hAnsi="Times New Roman" w:cs="Times New Roman"/>
          <w:sz w:val="28"/>
          <w:szCs w:val="28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пользу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Среднерусский банк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(ОГРН: 10277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00132195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ИНН: 7707083893)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задолженность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кредитному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договору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148165 от 21.02.2020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 период с 15.12.2020 по 25.05.2022 года в размере </w:t>
      </w:r>
      <w:r>
        <w:rPr>
          <w:rStyle w:val="cat-Sumgrp-16rplc-2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которая состоит из основного долга в размере </w:t>
      </w:r>
      <w:r>
        <w:rPr>
          <w:rStyle w:val="cat-Sumgrp-17rplc-2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просроченных процентов в размере </w:t>
      </w:r>
      <w:r>
        <w:rPr>
          <w:rStyle w:val="cat-Sumgrp-18rplc-2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 также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расходы по оплате госпошлины в размере </w:t>
      </w:r>
      <w:r>
        <w:rPr>
          <w:rStyle w:val="cat-Sumgrp-19rplc-3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в пределах стоимости перешедшего к не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й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наследственного имущества.</w:t>
      </w:r>
    </w:p>
    <w:sdt>
      <w:sdtPr>
        <w:alias w:val="Обжалование"/>
        <w:tag w:val="Обжалование"/>
        <w:id w:val="1196857918"/>
        <w:placeholder>
          <w:docPart w:val="DefaultPlaceholder_22675703"/>
        </w:placeholder>
        <w:showingPlcHdr/>
        <w:richText/>
      </w:sdtPr>
      <w:sdtContent>
        <w:p>
          <w:pPr>
            <w:spacing w:before="0" w:after="0"/>
            <w:ind w:firstLine="567"/>
            <w:jc w:val="both"/>
            <w:rPr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Решение может быть обжаловано в Московский городской суд в течение месяца со дня принятия судом решения через Щербинский районный суд </w:t>
          </w:r>
          <w:r>
            <w:rPr>
              <w:rStyle w:val="cat-Addressgrp-1rplc-31"/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адрес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.</w:t>
          </w:r>
        </w:p>
      </w:sdtContent>
    </w:sdt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tbl>
      <w:tblPr>
        <w:tblInd w:w="11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73"/>
        <w:gridCol w:w="3063"/>
        <w:gridCol w:w="3237"/>
      </w:tblGrid>
      <w:tr>
        <w:tblPrEx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8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Судья</w:t>
            </w:r>
          </w:p>
        </w:tc>
        <w:tc>
          <w:tcPr>
            <w:tcW w:w="3144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22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А.А. Кузнецов</w:t>
            </w:r>
          </w:p>
        </w:tc>
      </w:tr>
    </w:tbl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Мотивированное решение изготовлено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12 декабря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года.</w:t>
      </w: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РЕШЕНИЕ </w:t>
      </w:r>
    </w:p>
    <w:p>
      <w:pPr>
        <w:spacing w:before="0" w:after="0" w:line="28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 w:line="280" w:lineRule="atLeast"/>
        <w:ind w:firstLine="567"/>
        <w:jc w:val="center"/>
      </w:pPr>
    </w:p>
    <w:tbl>
      <w:tblPr>
        <w:tblW w:w="9464" w:type="dxa"/>
        <w:tblInd w:w="11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119"/>
        <w:gridCol w:w="1403"/>
        <w:gridCol w:w="3941"/>
      </w:tblGrid>
      <w:tr>
        <w:tblPrEx>
          <w:tblW w:w="9464" w:type="dxa"/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sdt>
              <w:sdtPr>
                <w:alias w:val="Дата"/>
                <w:tag w:val="Дата"/>
                <w:id w:val="1297655974"/>
                <w:placeholder>
                  <w:docPart w:val="DefaultPlaceholder_22675703"/>
                </w:placeholder>
                <w:showingPlcHdr/>
                <w:text/>
              </w:sdtPr>
              <w:sdtContent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>12 декабря 2022 года</w:t>
                </w:r>
              </w:sdtContent>
            </w:sdt>
          </w:p>
        </w:tc>
        <w:tc>
          <w:tcPr>
            <w:tcW w:w="1276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Style w:val="cat-Addressgrp-0rplc-33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адрес</w:t>
            </w:r>
          </w:p>
        </w:tc>
      </w:tr>
    </w:tbl>
    <w:p>
      <w:pPr>
        <w:spacing w:before="0" w:after="0"/>
        <w:ind w:firstLine="567"/>
        <w:jc w:val="both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Щербинский районный суд </w:t>
      </w:r>
      <w:r>
        <w:rPr>
          <w:rStyle w:val="cat-Addressgrp-1rplc-34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составе председательствующего судьи </w:t>
      </w:r>
      <w:r>
        <w:rPr>
          <w:rStyle w:val="cat-FIOgrp-3rplc-3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секретаре </w:t>
      </w:r>
      <w:r>
        <w:rPr>
          <w:rStyle w:val="cat-FIOgrp-4rplc-3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рассмотрев в открытом судебном заседании гражданское дело № </w:t>
      </w:r>
      <w:sdt>
        <w:sdtPr>
          <w:alias w:val="№ дела"/>
          <w:tag w:val="№ дела"/>
          <w:id w:val="977349888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2-19300/2022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sdt>
        <w:sdtPr>
          <w:alias w:val="Суть"/>
          <w:tag w:val="Суть"/>
          <w:id w:val="1639264826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по исковому заявлению ПАО Сбербанк в лице филиала Среднерусский банк ПАО Сбербанк к Поповой Елизавете Юрьевне о взыскании задолженности с наследника по кредитному договору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руководствуясь ст.199 ГПК РФ,</w:t>
      </w:r>
    </w:p>
    <w:p>
      <w:pPr>
        <w:spacing w:before="0" w:after="0" w:line="280" w:lineRule="atLeast"/>
        <w:jc w:val="both"/>
      </w:pPr>
    </w:p>
    <w:p>
      <w:pPr>
        <w:spacing w:before="0" w:after="0" w:line="28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РЕШИЛ:</w:t>
      </w:r>
    </w:p>
    <w:p>
      <w:pPr>
        <w:spacing w:before="0" w:after="0" w:line="280" w:lineRule="atLeast"/>
        <w:ind w:firstLine="567"/>
        <w:jc w:val="center"/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филиала Среднерусский банк ПАО Сбербанк к Поповой Елизавете Юрьевне </w:t>
      </w:r>
      <w:sdt>
        <w:sdtPr>
          <w:alias w:val="Суть"/>
          <w:tag w:val="Суть"/>
          <w:id w:val="1007152053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о взыскании задолженности по кредитному договору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- удовлетворить.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Договор № 148165 от 21.02.2020 года, заключенный между ПАО Сбербанк в лице филиала Среднерусский банк ПАО Сбербанк и </w:t>
      </w:r>
      <w:r>
        <w:rPr>
          <w:rStyle w:val="cat-FIOgrp-6rplc-3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- расторгнуть.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Взыскать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Поповой Елизаветы Юрьевны (</w:t>
      </w:r>
      <w:r>
        <w:rPr>
          <w:rStyle w:val="cat-PassportDatagrp-20rplc-41"/>
          <w:rFonts w:ascii="Times New Roman" w:eastAsia="Times New Roman" w:hAnsi="Times New Roman" w:cs="Times New Roman"/>
          <w:sz w:val="28"/>
          <w:szCs w:val="28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 в пользу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в лице филиала Среднерусский банк ПАО Сбербанк (ОГРН: 1027700132195, ИНН: 7707083893)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задолженность по кредитному договору №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148165 от 21.02.2020 года за период с 15.12.2020 по 25.05.2022 года в размере </w:t>
      </w:r>
      <w:r>
        <w:rPr>
          <w:rStyle w:val="cat-Sumgrp-16rplc-4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которая состоит из основного долга в размере </w:t>
      </w:r>
      <w:r>
        <w:rPr>
          <w:rStyle w:val="cat-Sumgrp-17rplc-4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просроченных процентов в размере </w:t>
      </w:r>
      <w:r>
        <w:rPr>
          <w:rStyle w:val="cat-Sumgrp-18rplc-4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а также расходы по оплате госпошлины в размере </w:t>
      </w:r>
      <w:r>
        <w:rPr>
          <w:rStyle w:val="cat-Sumgrp-19rplc-4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в пределах стоимости перешедшего к ней наследственного имущества.</w:t>
      </w:r>
    </w:p>
    <w:sdt>
      <w:sdtPr>
        <w:alias w:val="Обжалование"/>
        <w:tag w:val="Обжалование"/>
        <w:id w:val="1858115829"/>
        <w:placeholder>
          <w:docPart w:val="DefaultPlaceholder_22675703"/>
        </w:placeholder>
        <w:showingPlcHdr/>
        <w:richText/>
      </w:sdtPr>
      <w:sdtContent>
        <w:p>
          <w:pPr>
            <w:spacing w:before="0" w:after="0"/>
            <w:ind w:firstLine="567"/>
            <w:jc w:val="both"/>
            <w:rPr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Решение может быть обжаловано в Московский городской суд в течение месяца со дня принятия судом решения через Щербинский районный суд </w:t>
          </w:r>
          <w:r>
            <w:rPr>
              <w:rStyle w:val="cat-Addressgrp-1rplc-46"/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адрес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.</w:t>
          </w:r>
        </w:p>
      </w:sdtContent>
    </w:sdt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tbl>
      <w:tblPr>
        <w:tblInd w:w="11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73"/>
        <w:gridCol w:w="3063"/>
        <w:gridCol w:w="3237"/>
      </w:tblGrid>
      <w:tr>
        <w:tblPrEx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8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Судья</w:t>
            </w:r>
          </w:p>
        </w:tc>
        <w:tc>
          <w:tcPr>
            <w:tcW w:w="3144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22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А.А. Кузнецов</w:t>
            </w:r>
          </w:p>
        </w:tc>
      </w:tr>
    </w:tbl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jc w:val="both"/>
      </w:pP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jc w:val="center"/>
    </w:pPr>
  </w:p>
  <w:p>
    <w:pPr>
      <w:spacing w:before="0" w:after="0"/>
      <w:ind w:firstLine="708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3rplc-2">
    <w:name w:val="cat-FIO grp-3 rplc-2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FIOgrp-6rplc-5">
    <w:name w:val="cat-FIO grp-6 rplc-5"/>
    <w:basedOn w:val="DefaultParagraphFont"/>
  </w:style>
  <w:style w:type="character" w:customStyle="1" w:styleId="cat-Sumgrp-15rplc-6">
    <w:name w:val="cat-Sum grp-15 rplc-6"/>
    <w:basedOn w:val="DefaultParagraphFont"/>
  </w:style>
  <w:style w:type="character" w:customStyle="1" w:styleId="cat-FIOgrp-7rplc-7">
    <w:name w:val="cat-FIO grp-7 rplc-7"/>
    <w:basedOn w:val="DefaultParagraphFont"/>
  </w:style>
  <w:style w:type="character" w:customStyle="1" w:styleId="cat-Sumgrp-16rplc-8">
    <w:name w:val="cat-Sum grp-16 rplc-8"/>
    <w:basedOn w:val="DefaultParagraphFont"/>
  </w:style>
  <w:style w:type="character" w:customStyle="1" w:styleId="cat-Sumgrp-17rplc-9">
    <w:name w:val="cat-Sum grp-17 rplc-9"/>
    <w:basedOn w:val="DefaultParagraphFont"/>
  </w:style>
  <w:style w:type="character" w:customStyle="1" w:styleId="cat-Sumgrp-18rplc-10">
    <w:name w:val="cat-Sum grp-18 rplc-10"/>
    <w:basedOn w:val="DefaultParagraphFont"/>
  </w:style>
  <w:style w:type="character" w:customStyle="1" w:styleId="cat-FIOgrp-8rplc-11">
    <w:name w:val="cat-FIO grp-8 rplc-11"/>
    <w:basedOn w:val="DefaultParagraphFont"/>
  </w:style>
  <w:style w:type="character" w:customStyle="1" w:styleId="cat-FIOgrp-6rplc-13">
    <w:name w:val="cat-FIO grp-6 rplc-13"/>
    <w:basedOn w:val="DefaultParagraphFont"/>
  </w:style>
  <w:style w:type="character" w:customStyle="1" w:styleId="cat-Sumgrp-15rplc-14">
    <w:name w:val="cat-Sum grp-15 rplc-14"/>
    <w:basedOn w:val="DefaultParagraphFont"/>
  </w:style>
  <w:style w:type="character" w:customStyle="1" w:styleId="cat-FIOgrp-7rplc-15">
    <w:name w:val="cat-FIO grp-7 rplc-15"/>
    <w:basedOn w:val="DefaultParagraphFont"/>
  </w:style>
  <w:style w:type="character" w:customStyle="1" w:styleId="cat-Addressgrp-2rplc-16">
    <w:name w:val="cat-Address grp-2 rplc-16"/>
    <w:basedOn w:val="DefaultParagraphFont"/>
  </w:style>
  <w:style w:type="character" w:customStyle="1" w:styleId="cat-FIOgrp-10rplc-17">
    <w:name w:val="cat-FIO grp-10 rplc-17"/>
    <w:basedOn w:val="DefaultParagraphFont"/>
  </w:style>
  <w:style w:type="character" w:customStyle="1" w:styleId="cat-FIOgrp-8rplc-19">
    <w:name w:val="cat-FIO grp-8 rplc-19"/>
    <w:basedOn w:val="DefaultParagraphFont"/>
  </w:style>
  <w:style w:type="character" w:customStyle="1" w:styleId="cat-FIOgrp-11rplc-20">
    <w:name w:val="cat-FIO grp-11 rplc-20"/>
    <w:basedOn w:val="DefaultParagraphFont"/>
  </w:style>
  <w:style w:type="character" w:customStyle="1" w:styleId="cat-Sumgrp-19rplc-22">
    <w:name w:val="cat-Sum grp-19 rplc-22"/>
    <w:basedOn w:val="DefaultParagraphFont"/>
  </w:style>
  <w:style w:type="character" w:customStyle="1" w:styleId="cat-FIOgrp-6rplc-24">
    <w:name w:val="cat-FIO grp-6 rplc-24"/>
    <w:basedOn w:val="DefaultParagraphFont"/>
  </w:style>
  <w:style w:type="character" w:customStyle="1" w:styleId="cat-PassportDatagrp-20rplc-26">
    <w:name w:val="cat-PassportData grp-20 rplc-26"/>
    <w:basedOn w:val="DefaultParagraphFont"/>
  </w:style>
  <w:style w:type="character" w:customStyle="1" w:styleId="cat-Sumgrp-16rplc-27">
    <w:name w:val="cat-Sum grp-16 rplc-27"/>
    <w:basedOn w:val="DefaultParagraphFont"/>
  </w:style>
  <w:style w:type="character" w:customStyle="1" w:styleId="cat-Sumgrp-17rplc-28">
    <w:name w:val="cat-Sum grp-17 rplc-28"/>
    <w:basedOn w:val="DefaultParagraphFont"/>
  </w:style>
  <w:style w:type="character" w:customStyle="1" w:styleId="cat-Sumgrp-18rplc-29">
    <w:name w:val="cat-Sum grp-18 rplc-29"/>
    <w:basedOn w:val="DefaultParagraphFont"/>
  </w:style>
  <w:style w:type="character" w:customStyle="1" w:styleId="cat-Sumgrp-19rplc-30">
    <w:name w:val="cat-Sum grp-19 rplc-30"/>
    <w:basedOn w:val="DefaultParagraphFont"/>
  </w:style>
  <w:style w:type="character" w:customStyle="1" w:styleId="cat-Addressgrp-1rplc-31">
    <w:name w:val="cat-Address grp-1 rplc-31"/>
    <w:basedOn w:val="DefaultParagraphFont"/>
  </w:style>
  <w:style w:type="character" w:customStyle="1" w:styleId="cat-Addressgrp-0rplc-33">
    <w:name w:val="cat-Address grp-0 rplc-33"/>
    <w:basedOn w:val="DefaultParagraphFont"/>
  </w:style>
  <w:style w:type="character" w:customStyle="1" w:styleId="cat-Addressgrp-1rplc-34">
    <w:name w:val="cat-Address grp-1 rplc-34"/>
    <w:basedOn w:val="DefaultParagraphFont"/>
  </w:style>
  <w:style w:type="character" w:customStyle="1" w:styleId="cat-FIOgrp-3rplc-35">
    <w:name w:val="cat-FIO grp-3 rplc-35"/>
    <w:basedOn w:val="DefaultParagraphFont"/>
  </w:style>
  <w:style w:type="character" w:customStyle="1" w:styleId="cat-FIOgrp-4rplc-36">
    <w:name w:val="cat-FIO grp-4 rplc-36"/>
    <w:basedOn w:val="DefaultParagraphFont"/>
  </w:style>
  <w:style w:type="character" w:customStyle="1" w:styleId="cat-FIOgrp-6rplc-39">
    <w:name w:val="cat-FIO grp-6 rplc-39"/>
    <w:basedOn w:val="DefaultParagraphFont"/>
  </w:style>
  <w:style w:type="character" w:customStyle="1" w:styleId="cat-PassportDatagrp-20rplc-41">
    <w:name w:val="cat-PassportData grp-20 rplc-41"/>
    <w:basedOn w:val="DefaultParagraphFont"/>
  </w:style>
  <w:style w:type="character" w:customStyle="1" w:styleId="cat-Sumgrp-16rplc-42">
    <w:name w:val="cat-Sum grp-16 rplc-42"/>
    <w:basedOn w:val="DefaultParagraphFont"/>
  </w:style>
  <w:style w:type="character" w:customStyle="1" w:styleId="cat-Sumgrp-17rplc-43">
    <w:name w:val="cat-Sum grp-17 rplc-43"/>
    <w:basedOn w:val="DefaultParagraphFont"/>
  </w:style>
  <w:style w:type="character" w:customStyle="1" w:styleId="cat-Sumgrp-18rplc-44">
    <w:name w:val="cat-Sum grp-18 rplc-44"/>
    <w:basedOn w:val="DefaultParagraphFont"/>
  </w:style>
  <w:style w:type="character" w:customStyle="1" w:styleId="cat-Sumgrp-19rplc-45">
    <w:name w:val="cat-Sum grp-19 rplc-45"/>
    <w:basedOn w:val="DefaultParagraphFont"/>
  </w:style>
  <w:style w:type="character" w:customStyle="1" w:styleId="cat-Addressgrp-1rplc-46">
    <w:name w:val="cat-Address grp-1 rplc-46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glossaryDocument" Target="glossary/document.xml" /><Relationship Id="rId7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85F86-78CA-4CA4-84E6-6C978D00EB2C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