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6.2.0.0 -->
  <w:background w:color="ffffff">
    <v:background id="_x0000_s1025" filled="t" fillcolor="white"/>
  </w:background>
  <w:body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РЕШЕНИЕ</w:t>
      </w:r>
    </w:p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Именем Российской Федерации</w:t>
      </w: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709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28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мая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2021 года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                                        </w:t>
      </w:r>
      <w:r>
        <w:rPr>
          <w:rStyle w:val="cat-Addressgrp-0rplc-0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</w:p>
    <w:p>
      <w:pPr>
        <w:spacing w:before="0" w:after="0"/>
        <w:ind w:firstLine="709"/>
        <w:rPr>
          <w:sz w:val="27"/>
          <w:szCs w:val="27"/>
        </w:rPr>
      </w:pPr>
    </w:p>
    <w:p>
      <w:pPr>
        <w:spacing w:before="0" w:after="0"/>
        <w:ind w:firstLine="709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Тверской районный суд </w:t>
      </w:r>
      <w:r>
        <w:rPr>
          <w:rStyle w:val="cat-Addressgrp-1rplc-1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Коротовой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Е.Г., при секретаре </w:t>
      </w:r>
      <w:r>
        <w:rPr>
          <w:rStyle w:val="cat-FIOgrp-4rplc-3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1949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/2021 по иску ПАО Сбербанк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Игорю Михайловичу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контракту,</w:t>
      </w: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УСТАНОВИЛ:</w:t>
      </w: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Публичное акционерное общество Сбербанк России в лице филиал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а-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Московского банка ПАО Сбербанк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обратилось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суд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вышеуказанным иском, 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котором просит взыскать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И.М.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пользу ПАО Сбербанк России в лице филиала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- Московского банка ПАО Сбербанк задолженность по эмиссионному контракту №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0910-Р-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13211417540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размере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Style w:val="cat-Sumgrp-8rplc-6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расходы по оплате государственной пошлины в размере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Style w:val="cat-Sumgrp-9rplc-7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обосновани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исковых требований истец указал, что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26.04.2019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межд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у ПАО Сбербанк 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Данковцевым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И.М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заключен эмиссионный контракт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0910-Р-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13211417540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на предоставление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возобновляемой кредитной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линии посредствам выдачи банковской карты с предоставленным по ней кредитом и обслуживанием счета по да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нной карте в российских рублях. Указанный договор заключен в результате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оферты путем оформления ответчиком заявления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на получение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кред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итной карты Сбербанка России 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ознакомления его с Индивидуальными условиями выпуска и обслуживания карты банка, общими условиями выпуска, Тарифами банка, памяткой держателя банковских карт и Памяткой по безопасности. Во исполнение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заключенного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договора ответчику была выдана кредитная карта с лимитом кредита в сумме </w:t>
      </w:r>
      <w:r>
        <w:rPr>
          <w:rStyle w:val="cat-Sumgrp-10rplc-9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Ответчиком в нарушении условий договора платежи в счет погашения задолженности по кредиту производились с нарушением сроков и сумм, обязательных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к погашению, в результате чего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по состоянию на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29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.01.2021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образовалась задолженность в размере </w:t>
      </w:r>
      <w:r>
        <w:rPr>
          <w:rStyle w:val="cat-Sumgrp-8rplc-10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Требование,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направленное банком в адрес ответчика о досрочном возврате суммы кредита ответчиком не исполнено, задолженность не погашена.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Представитель истца в судебное заседание не явился, извещен надлежащим образом, просил рассмотреть дело в свое отсутствие.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Ответчик в судебное заседание не явился, о месте и времени судебного разбирательства извещен надлежащим образом, доказательств уважительности причин неявки в суд не представил, ходатайств об отложении не заявлял, письменных возражений на иск не представил.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Дело рассмотрено в отсутствие сторон на основании ст.167 ГПК РФ.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Изучив доводы иска, исследовав письменные материалы дела, суд считает исковые требования подлежащими удовлетворению по следующим основаниям.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Согласно п. 2 ст. 1 ГК РФ граждане и юридические лица приобретают и осуществляют свои гражданские права своей волей и в своем интересе. Они свободны в установлении своих прав и обязанностей на основе договора и определении любых, не противоречащих законодательству условий договора.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соответствии с п. 1 ст. 819 ГК РФ по кредитному договору банк или иная кредитная организация (кредитор) обязуется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неё.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п. 2 ст. 819 ГК РФ, к отношениям по кредитному договору применяются правила, предусмотренные </w:t>
      </w:r>
      <w:r>
        <w:rPr>
          <w:rFonts w:ascii="Times New Roman" w:eastAsia="Times New Roman" w:hAnsi="Times New Roman" w:cs="Times New Roman"/>
          <w:sz w:val="27"/>
          <w:szCs w:val="27"/>
        </w:rPr>
        <w:fldChar w:fldCharType="begin"/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instrText xml:space="preserve"> HYPERLINK "file:///C:\\Users\\User\\Desktop\\коротова%20Е\\Банки,%20Коллекторское%20агентство\\2-5780-2019%20Сбербанк-%20Лазаренко%20кредит%20эмисионный%20контракт%20УД.doc" \l "sub_807" </w:instrText>
      </w:r>
      <w:r>
        <w:rPr>
          <w:rFonts w:ascii="Times New Roman" w:eastAsia="Times New Roman" w:hAnsi="Times New Roman" w:cs="Times New Roman"/>
          <w:sz w:val="27"/>
          <w:szCs w:val="27"/>
        </w:rPr>
        <w:fldChar w:fldCharType="separate"/>
      </w:r>
      <w:r>
        <w:rPr>
          <w:rFonts w:ascii="Times New Roman" w:eastAsia="Times New Roman" w:hAnsi="Times New Roman" w:cs="Times New Roman"/>
          <w:color w:val="0000EE"/>
          <w:sz w:val="27"/>
          <w:szCs w:val="27"/>
          <w:highlight w:val="none"/>
        </w:rPr>
        <w:t>параграфом 1</w:t>
      </w:r>
      <w:r>
        <w:rPr>
          <w:rFonts w:ascii="Times New Roman" w:eastAsia="Times New Roman" w:hAnsi="Times New Roman" w:cs="Times New Roman"/>
          <w:color w:val="0000EE"/>
          <w:sz w:val="27"/>
          <w:szCs w:val="27"/>
        </w:rPr>
        <w:fldChar w:fldCharType="end"/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главы 42 ГК РФ, если иное не предусмотрено правилами параграфа 2 и не вытекает из существа кредитного договора.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силу п. 1 ст. 810 ГК РФ, заемщик обязан возвратить займодавцу полученную сумму займа в срок и в порядке, которые предусмотрены договором займа.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Согласно п. 1 ст. 809 ГК РФ, если иное не предусмотрено законом или договором займа, займодавец имеет право на получение с заемщика процентов на сумму займа в размерах и в порядке, определенных договором.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судебном заседании установлено и подтверждается материалами дела, что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26.04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.2018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между ПАО Сбербанк 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Данковцевым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И.М.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заключен эмиссионный контракт №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0910-Р-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13211417540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на предоставление возобновляемой кредитной линии посредствам выдачи банковской карты с предоставленным по ней кредитом и обслуживанием счета по данной карте в российских рублях. 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Указанный договор заключен в результате публичной оферты путем оформления Ответчиком заявления на получение кредитной карты и ознакомления его с Условиями выпуска и обслуживания кредитной карты Банка, Тарифами Банка, Памяткой Держателя банковских карт и Памяткой по безопасности.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Данный договор, по своему существу, является договором присоединения, основные положения которого в одностороннем порядке сформулированы Банком в Условиях. Возможность заключения такого договора предусмотрена статьей 428 Гражданского кодекса Российской Федерации.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Во исполнение заключенного договора Подразделением Банка ответчику была выдана кредитная карта с лимитом кредита в сумме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Style w:val="cat-Sumgrp-10rplc-12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условия предоставления и возврата которого изложены в Условиях и в Тарифах Банка. Также ответчику был открыт счет для отражения операций, проводимых с использованием международной кредитной карты в соответствии с заключенным договором.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соответствии с п. 2 Условий Подразделение Банка - это подразделение ПАО Сбербанк, осуществляющие выпуск и обслуживание физических лиц по кредитным картам. Перечень Подразделений Банка размещен на Официальном сайте Банка- www.sberbank.ru.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соответствии с Условиями операции, совершенные по карте, оплачиваются за счет кредита, предоставляемого Банком Ответчику на условиях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«до востребования», с одновременным уменьшением доступного лимита кредита. Кредит по карте предоставляется Ответчи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ку в размере кредитного лимита </w:t>
      </w:r>
      <w:r>
        <w:rPr>
          <w:rStyle w:val="cat-Sumgrp-10rplc-13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под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23,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9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% годовых на условиях, определенных Тарифами Банка. При этом Банк обязуется ежемесячно формировать и предоставлять ответчику отчеты по карте с указанием совершенных по карте операционных платежей за пользование кредитными средствами, в том числе сумм обязательных платежей по карте.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соответствии с Условиями Банк вправе в одностороннем порядке изменять доступный лимит кредита.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Условиям, погашение кредита и уплата процентов за его использование осуществляется ежемесячно по частям (оплата суммы обязательного платежа)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или полностью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(оплата суммы общей задолженности) в соответствии с информацией, указанной в отчете, путем пополнения счета не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позднее двадцати календарных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дней с даты формирования отчетов по карте.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Пунктом 12 Индивидуальных условий предусмотрено, что за несвоевременное погашение обязательных платежей взимается неустойка в размере 36% годовых.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Согласно п. 1 ст. 307 ГК РФ в силу обязательства одно лицо (должник) обязано совершить в пользу другого лица (кредитора) определенное действие, как-то: передать имущество, выполнить работу, уплатить деньги и т.п., либо воздержаться от определенного действия, а кредитор имеет право от должника исполнения его обязанности.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силу ст. 309 ГК РФ обязательства должны исполняться надлежащим образом в соответствии с условиями обязательства и требованиями закона, иных правовых актов, а при отсутствии таких условий и требований – в соответствии с обычаями делового оборота или иными обычно предъявляемыми требованиями.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ст. 310 ГК РФ односторонний отказ от исполнения обязательства и одностороннее изменение его условий не допускается. 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В соответствии с Условиями, в случае неисполнения или ненадлежащего исполнения ответчиком условий заключен договора, Банк имеет право досрочно потребовать оплаты общей суммы задолженности по карте, а Ответчик обязуется досрочно ее погасить.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Согласно исковому заявлению,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платежи в счет погашения зад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олженности по кредиту ответчик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производил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нарушениями в части сроков и сумм, обязательных к погашению.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По состоянию на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29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.01.2021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образовалась задолженность в размере </w:t>
      </w:r>
      <w:r>
        <w:rPr>
          <w:rStyle w:val="cat-Sumgrp-8rplc-14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из которых: просроченный основной долг – </w:t>
      </w:r>
      <w:r>
        <w:rPr>
          <w:rStyle w:val="cat-Sumgrp-11rplc-15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просроченные проценты – </w:t>
      </w:r>
      <w:r>
        <w:rPr>
          <w:rStyle w:val="cat-Sumgrp-12rplc-16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неустойка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– </w:t>
      </w:r>
      <w:r>
        <w:rPr>
          <w:rStyle w:val="cat-Sumgrp-13rplc-17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Ответчику было направлено письмо с требованием о возврате с кредита, процентов за пользование кредитом и уплате неустойки. Данное требование настоящего момента не выполнено.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Оценив в совокупности собранные по делу доказательства, суд приходит к выводу о том, что требования ПАО Сбербанк являются обоснованными.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Вышеизложенные обстоятельства подтверждаются представленными в материалы дела доказательствами и расчетами, составленными в соответствии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условиями кредитного договора, не оспоренными в надлежащем порядке, в связи с чем суд считает подлежащими удовлетворению заявленные исковые требования. </w:t>
      </w:r>
    </w:p>
    <w:p>
      <w:pPr>
        <w:widowControl w:val="0"/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Согласно ст. 56 ГПК РФ каждая сторона должна доказать те обстоятельства, на которые она ссылается как на основания своих требований и возражений, если иное не предусмотрено федеральным законом.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Доказательств, свидетельствующих об исполнении надлежащим образом принятых на себя обязательств по кредитному договору, так и опровергающих расчет задолженности по кредитному договору ответчиком не представлено.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При таких обстоятельствах суд приходит к выводу о взыскании с ответчика в пользу истца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задолженности по эмиссионному контракту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№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0910-Р-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13211417540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размере </w:t>
      </w:r>
      <w:r>
        <w:rPr>
          <w:rStyle w:val="cat-Sumgrp-8rplc-18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соответствии с ч.1 ст. 98 ГПК РФ с ответчика в пользу истца подлежат взысканию расходы по уплате государственной пошлины в размере </w:t>
      </w:r>
      <w:r>
        <w:rPr>
          <w:rStyle w:val="cat-Sumgrp-14rplc-19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На основании изложенного, руководствуясь ст. ст. 194-198 ГПК РФ, суд</w:t>
      </w: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61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РЕШИЛ: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Иск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публичного акционерного общества Сбербанк России в лице филиала- Московского банка ПАО Сбербанк 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Игорю Михайловичу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контракту, судебных расходов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удовлетворить.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Игоря Михайловича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пользу ПАО «Сбербанк России» в лице филиала- Московского банка ПАО «Сбербанк» задолженность в размере </w:t>
      </w:r>
      <w:r>
        <w:rPr>
          <w:rStyle w:val="cat-Sumgrp-15rplc-22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расходы по оплате государственной пошлины в размере </w:t>
      </w:r>
      <w:r>
        <w:rPr>
          <w:rStyle w:val="cat-Sumgrp-14rplc-23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Решение может быть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обжаловано 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Московский городской суд в течение месяца. 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Апелляционная жалоба подается через Тверской районный суд </w:t>
      </w:r>
      <w:r>
        <w:rPr>
          <w:rStyle w:val="cat-Addressgrp-1rplc-24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                                                          </w:t>
      </w:r>
      <w:r>
        <w:rPr>
          <w:rStyle w:val="cat-FIOgrp-7rplc-25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Мотивированное решение суда изготовлено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25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июня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202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года </w:t>
      </w: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РЕШЕНИЕ</w:t>
      </w:r>
    </w:p>
    <w:p>
      <w:pPr>
        <w:spacing w:before="0" w:after="0"/>
        <w:ind w:firstLine="540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Именем Российской Федерации</w:t>
      </w:r>
    </w:p>
    <w:p>
      <w:pPr>
        <w:spacing w:before="0" w:after="0"/>
        <w:ind w:firstLine="540"/>
        <w:jc w:val="center"/>
        <w:rPr>
          <w:sz w:val="27"/>
          <w:szCs w:val="27"/>
        </w:rPr>
      </w:pPr>
    </w:p>
    <w:p>
      <w:pPr>
        <w:spacing w:before="0" w:after="0"/>
        <w:ind w:firstLine="709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28 мая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2021 года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                                        </w:t>
      </w:r>
      <w:r>
        <w:rPr>
          <w:rStyle w:val="cat-Addressgrp-0rplc-26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</w:p>
    <w:p>
      <w:pPr>
        <w:spacing w:before="0" w:after="0"/>
        <w:ind w:firstLine="709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Тверской районный суд </w:t>
      </w:r>
      <w:r>
        <w:rPr>
          <w:rStyle w:val="cat-Addressgrp-1rplc-27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в составе председательствующего судьи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Коротовой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Е.Г., при секретаре </w:t>
      </w:r>
      <w:r>
        <w:rPr>
          <w:rStyle w:val="cat-FIOgrp-4rplc-29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рассмотрев в открытом судебном заседании гражданское дело № 2-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1949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/2021 по иску ПАО Сбербанк в лице филиала – Московского банка ПАО Сбербанк 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Игорю Михайловичу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контракту,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руководствуясь ст. 199 ГПК РФ, суд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center"/>
        <w:rPr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highlight w:val="none"/>
        </w:rPr>
        <w:t>РЕШИЛ: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Иск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публичного акционерного общества Сбербанк России в лице филиала- Московского банка ПАО Сбербанк к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Игорю Михайловичу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 взыскании задолженности по эмиссионному контракту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о взыскании задолженности по эмиссионному контракту, судебных расходов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, удовлетворить.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Взыскать с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Данковцева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Игоря Михайловича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в пользу ПАО «Сбербанк России» в лице филиала- Московского банка ПАО «Сбербанк» задолженность в размере </w:t>
      </w:r>
      <w:r>
        <w:rPr>
          <w:rStyle w:val="cat-Sumgrp-15rplc-33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, расходы по оплате государственной пошлины в размере </w:t>
      </w:r>
      <w:r>
        <w:rPr>
          <w:rStyle w:val="cat-Sumgrp-14rplc-34"/>
          <w:rFonts w:ascii="Times New Roman" w:eastAsia="Times New Roman" w:hAnsi="Times New Roman" w:cs="Times New Roman"/>
          <w:sz w:val="27"/>
          <w:szCs w:val="27"/>
          <w:highlight w:val="none"/>
        </w:rPr>
        <w:t>сумма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Решение может быть 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обжаловано в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Московский городской суд в течение месяца. </w:t>
      </w: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Апелляционная жалоба подается через Тверской районный суд </w:t>
      </w:r>
      <w:r>
        <w:rPr>
          <w:rStyle w:val="cat-Addressgrp-1rplc-35"/>
          <w:rFonts w:ascii="Times New Roman" w:eastAsia="Times New Roman" w:hAnsi="Times New Roman" w:cs="Times New Roman"/>
          <w:sz w:val="27"/>
          <w:szCs w:val="27"/>
          <w:highlight w:val="none"/>
        </w:rPr>
        <w:t>адрес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.</w:t>
      </w:r>
    </w:p>
    <w:p>
      <w:pPr>
        <w:spacing w:before="0" w:after="0"/>
        <w:ind w:firstLine="561"/>
        <w:jc w:val="both"/>
        <w:rPr>
          <w:sz w:val="27"/>
          <w:szCs w:val="27"/>
        </w:rPr>
      </w:pPr>
    </w:p>
    <w:p>
      <w:pPr>
        <w:spacing w:before="0" w:after="0"/>
        <w:ind w:firstLine="561"/>
        <w:jc w:val="both"/>
        <w:rPr>
          <w:sz w:val="27"/>
          <w:szCs w:val="27"/>
        </w:rPr>
      </w:pP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>Судья</w:t>
      </w:r>
      <w:r>
        <w:rPr>
          <w:rFonts w:ascii="Times New Roman" w:eastAsia="Times New Roman" w:hAnsi="Times New Roman" w:cs="Times New Roman"/>
          <w:sz w:val="27"/>
          <w:szCs w:val="27"/>
          <w:highlight w:val="none"/>
        </w:rPr>
        <w:t xml:space="preserve">                                                                                       </w:t>
      </w:r>
      <w:r>
        <w:rPr>
          <w:rStyle w:val="cat-FIOgrp-7rplc-36"/>
          <w:rFonts w:ascii="Times New Roman" w:eastAsia="Times New Roman" w:hAnsi="Times New Roman" w:cs="Times New Roman"/>
          <w:sz w:val="27"/>
          <w:szCs w:val="27"/>
          <w:highlight w:val="none"/>
        </w:rPr>
        <w:t>фио</w:t>
      </w:r>
    </w:p>
    <w:p>
      <w:pPr>
        <w:spacing w:before="0" w:after="0"/>
        <w:ind w:firstLine="567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p>
      <w:pPr>
        <w:spacing w:before="0" w:after="0"/>
        <w:ind w:firstLine="540"/>
        <w:jc w:val="both"/>
        <w:rPr>
          <w:sz w:val="27"/>
          <w:szCs w:val="27"/>
        </w:rPr>
      </w:pPr>
    </w:p>
    <w:sectPr>
      <w:pgMar w:header="708" w:footer="708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6"/>
      <w:sz w:val="48"/>
      <w:szCs w:val="48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</w:rPr>
  </w:style>
  <w:style w:type="character" w:default="1" w:styleId="DefaultParagraphFont">
    <w:name w:val="Default Paragraph Font"/>
    <w:semiHidden/>
  </w:style>
  <w:style w:type="character" w:customStyle="1" w:styleId="cat-Addressgrp-0rplc-0">
    <w:name w:val="cat-Address grp-0 rplc-0"/>
    <w:basedOn w:val="DefaultParagraphFont"/>
  </w:style>
  <w:style w:type="character" w:customStyle="1" w:styleId="cat-Addressgrp-1rplc-1">
    <w:name w:val="cat-Address grp-1 rplc-1"/>
    <w:basedOn w:val="DefaultParagraphFont"/>
  </w:style>
  <w:style w:type="character" w:customStyle="1" w:styleId="cat-FIOgrp-4rplc-3">
    <w:name w:val="cat-FIO grp-4 rplc-3"/>
    <w:basedOn w:val="DefaultParagraphFont"/>
  </w:style>
  <w:style w:type="character" w:customStyle="1" w:styleId="cat-Sumgrp-8rplc-6">
    <w:name w:val="cat-Sum grp-8 rplc-6"/>
    <w:basedOn w:val="DefaultParagraphFont"/>
  </w:style>
  <w:style w:type="character" w:customStyle="1" w:styleId="cat-Sumgrp-9rplc-7">
    <w:name w:val="cat-Sum grp-9 rplc-7"/>
    <w:basedOn w:val="DefaultParagraphFont"/>
  </w:style>
  <w:style w:type="character" w:customStyle="1" w:styleId="cat-Sumgrp-10rplc-9">
    <w:name w:val="cat-Sum grp-10 rplc-9"/>
    <w:basedOn w:val="DefaultParagraphFont"/>
  </w:style>
  <w:style w:type="character" w:customStyle="1" w:styleId="cat-Sumgrp-8rplc-10">
    <w:name w:val="cat-Sum grp-8 rplc-10"/>
    <w:basedOn w:val="DefaultParagraphFont"/>
  </w:style>
  <w:style w:type="character" w:customStyle="1" w:styleId="cat-Sumgrp-10rplc-12">
    <w:name w:val="cat-Sum grp-10 rplc-12"/>
    <w:basedOn w:val="DefaultParagraphFont"/>
  </w:style>
  <w:style w:type="character" w:customStyle="1" w:styleId="cat-Sumgrp-10rplc-13">
    <w:name w:val="cat-Sum grp-10 rplc-13"/>
    <w:basedOn w:val="DefaultParagraphFont"/>
  </w:style>
  <w:style w:type="character" w:customStyle="1" w:styleId="cat-Sumgrp-8rplc-14">
    <w:name w:val="cat-Sum grp-8 rplc-14"/>
    <w:basedOn w:val="DefaultParagraphFont"/>
  </w:style>
  <w:style w:type="character" w:customStyle="1" w:styleId="cat-Sumgrp-11rplc-15">
    <w:name w:val="cat-Sum grp-11 rplc-15"/>
    <w:basedOn w:val="DefaultParagraphFont"/>
  </w:style>
  <w:style w:type="character" w:customStyle="1" w:styleId="cat-Sumgrp-12rplc-16">
    <w:name w:val="cat-Sum grp-12 rplc-16"/>
    <w:basedOn w:val="DefaultParagraphFont"/>
  </w:style>
  <w:style w:type="character" w:customStyle="1" w:styleId="cat-Sumgrp-13rplc-17">
    <w:name w:val="cat-Sum grp-13 rplc-17"/>
    <w:basedOn w:val="DefaultParagraphFont"/>
  </w:style>
  <w:style w:type="character" w:customStyle="1" w:styleId="cat-Sumgrp-8rplc-18">
    <w:name w:val="cat-Sum grp-8 rplc-18"/>
    <w:basedOn w:val="DefaultParagraphFont"/>
  </w:style>
  <w:style w:type="character" w:customStyle="1" w:styleId="cat-Sumgrp-14rplc-19">
    <w:name w:val="cat-Sum grp-14 rplc-19"/>
    <w:basedOn w:val="DefaultParagraphFont"/>
  </w:style>
  <w:style w:type="character" w:customStyle="1" w:styleId="cat-Sumgrp-15rplc-22">
    <w:name w:val="cat-Sum grp-15 rplc-22"/>
    <w:basedOn w:val="DefaultParagraphFont"/>
  </w:style>
  <w:style w:type="character" w:customStyle="1" w:styleId="cat-Sumgrp-14rplc-23">
    <w:name w:val="cat-Sum grp-14 rplc-23"/>
    <w:basedOn w:val="DefaultParagraphFont"/>
  </w:style>
  <w:style w:type="character" w:customStyle="1" w:styleId="cat-Addressgrp-1rplc-24">
    <w:name w:val="cat-Address grp-1 rplc-24"/>
    <w:basedOn w:val="DefaultParagraphFont"/>
  </w:style>
  <w:style w:type="character" w:customStyle="1" w:styleId="cat-FIOgrp-7rplc-25">
    <w:name w:val="cat-FIO grp-7 rplc-25"/>
    <w:basedOn w:val="DefaultParagraphFont"/>
  </w:style>
  <w:style w:type="character" w:customStyle="1" w:styleId="cat-Addressgrp-0rplc-26">
    <w:name w:val="cat-Address grp-0 rplc-26"/>
    <w:basedOn w:val="DefaultParagraphFont"/>
  </w:style>
  <w:style w:type="character" w:customStyle="1" w:styleId="cat-Addressgrp-1rplc-27">
    <w:name w:val="cat-Address grp-1 rplc-27"/>
    <w:basedOn w:val="DefaultParagraphFont"/>
  </w:style>
  <w:style w:type="character" w:customStyle="1" w:styleId="cat-FIOgrp-4rplc-29">
    <w:name w:val="cat-FIO grp-4 rplc-29"/>
    <w:basedOn w:val="DefaultParagraphFont"/>
  </w:style>
  <w:style w:type="character" w:customStyle="1" w:styleId="cat-Sumgrp-15rplc-33">
    <w:name w:val="cat-Sum grp-15 rplc-33"/>
    <w:basedOn w:val="DefaultParagraphFont"/>
  </w:style>
  <w:style w:type="character" w:customStyle="1" w:styleId="cat-Sumgrp-14rplc-34">
    <w:name w:val="cat-Sum grp-14 rplc-34"/>
    <w:basedOn w:val="DefaultParagraphFont"/>
  </w:style>
  <w:style w:type="character" w:customStyle="1" w:styleId="cat-Addressgrp-1rplc-35">
    <w:name w:val="cat-Address grp-1 rplc-35"/>
    <w:basedOn w:val="DefaultParagraphFont"/>
  </w:style>
  <w:style w:type="character" w:customStyle="1" w:styleId="cat-FIOgrp-7rplc-36">
    <w:name w:val="cat-FIO grp-7 rplc-36"/>
    <w:basedOn w:val="DefaultParagraphFont"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