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/>
        <w:ind w:firstLine="709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УИД 77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RS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0028-02-2022-002857-96</w:t>
      </w:r>
    </w:p>
    <w:p>
      <w:pPr>
        <w:widowControl w:val="0"/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РЕШЕНИЕ</w:t>
      </w:r>
    </w:p>
    <w:p>
      <w:pPr>
        <w:widowControl w:val="0"/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ИМЕНЕМ РОССИЙСКОЙ ФЕДЕРАЦИИ</w:t>
      </w:r>
    </w:p>
    <w:p>
      <w:pPr>
        <w:widowControl w:val="0"/>
        <w:tabs>
          <w:tab w:val="left" w:pos="8540"/>
        </w:tabs>
        <w:spacing w:before="0" w:after="0"/>
        <w:ind w:firstLine="709"/>
        <w:rPr>
          <w:sz w:val="26"/>
          <w:szCs w:val="26"/>
        </w:rPr>
      </w:pPr>
      <w:r>
        <w:rPr>
          <w:sz w:val="26"/>
          <w:szCs w:val="26"/>
          <w:highlight w:val="none"/>
        </w:rPr>
        <w:tab/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Style w:val="cat-Dategrp-5rplc-0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Style w:val="cat-Addressgrp-0rplc-1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Тимирязевский районный суд </w:t>
      </w:r>
      <w:r>
        <w:rPr>
          <w:rStyle w:val="cat-Addressgrp-0rplc-2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Макляк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М.А., при секретаре </w:t>
      </w:r>
      <w:r>
        <w:rPr>
          <w:rStyle w:val="cat-FIOgrp-12rplc-4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983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/22 по иску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лице филиала – Московского банка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Кононовой Светлане Александровне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взыскании задолженности по кредитному договору,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center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УСТАНОВИЛ:</w:t>
      </w:r>
    </w:p>
    <w:p>
      <w:pPr>
        <w:widowControl w:val="0"/>
        <w:spacing w:before="0" w:after="0"/>
        <w:ind w:firstLine="709"/>
        <w:jc w:val="center"/>
        <w:rPr>
          <w:sz w:val="26"/>
          <w:szCs w:val="26"/>
        </w:rPr>
      </w:pP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лице филиала – Московского банка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обратился в суд с иском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Кононовой Светлане Александровне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 просит взыскать с ответчика задолженность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332615499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от </w:t>
      </w:r>
      <w:r>
        <w:rPr>
          <w:rStyle w:val="cat-Dategrp-6rplc-7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размере </w:t>
      </w:r>
      <w:r>
        <w:rPr>
          <w:rStyle w:val="cat-Sumgrp-16rplc-8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расходы по уплате госпошлины в сумме </w:t>
      </w:r>
      <w:r>
        <w:rPr>
          <w:rStyle w:val="cat-Sumgrp-17rplc-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widowControl w:val="0"/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мотивированы тем, что </w:t>
      </w:r>
      <w:r>
        <w:rPr>
          <w:rStyle w:val="cat-Dategrp-7rplc-10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ПАО Сбербанк и Кононова С.А.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заключили эмиссионный контракт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332615499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Во исполнение заключенного договора ответчику была выдана кредитная карта, условия предоставления и возврата которого изложены в Условиях и Тарифах Банка.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Кредит по карте предоставляется ответчику в размере кредитного лимита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27,4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% годовых на условиях, определенных Тарифами Банка.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Согласно Общим условиям, погашение кредита и уплата процентов за его использование осуществляется ежемесячно по частям или полностью в соответствии с информацией указанной в отчете. Индивидуальными условиями предусмотрено, что за несвоевременное погашение обязательного платежа взимается неустойка в соответствии с Тарифами Банка. Платежи в счет погашения задолженности по кредиту ответчиком производились с нарушениями части сроков и сумм, обязательных к погашению. По состоянию на </w:t>
      </w:r>
      <w:r>
        <w:rPr>
          <w:rStyle w:val="cat-Dategrp-8rplc-12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образовалась задолженность: просроченный основной долг – </w:t>
      </w:r>
      <w:r>
        <w:rPr>
          <w:rStyle w:val="cat-Sumgrp-18rplc-1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просроченные проценты – </w:t>
      </w:r>
      <w:r>
        <w:rPr>
          <w:rStyle w:val="cat-Sumgrp-19rplc-1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неустойка – </w:t>
      </w:r>
      <w:r>
        <w:rPr>
          <w:rStyle w:val="cat-Sumgrp-20rplc-1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Ответчику было направлено письмо с требованием о досрочном возврате суммы кредита и процентов за пользование кредитом и уплате неустойки. Данное требование до настоящего момента не исполнено. 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Представитель истца в судебное заседание не явился, о времени и месте рассмотрения дела извещался надлежащим образом, в иске просил о рассмотрении дела в отсутствии представителя.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Кононова С.А.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судебное заседание не явил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извещен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времени и месте судебного заседания надлежащим образом, об уважительности причин неявки в суд не сообщил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Суд, руководствуясь ст. 167 ГПК РФ, счел возможным рассмотреть дело в отсутствие не явившихся участников процесса.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Исследовав письменные материалы дела, суд приходит к выво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ду, что исковые требования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подлежат удовлетворению.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ч. 1 ст. 319 ГК РФ за пользование чужими денежными средствами вследствие их неправомерного удержания, уклонения от их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со ст. 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Судом установлено, что </w:t>
      </w:r>
      <w:r>
        <w:rPr>
          <w:rStyle w:val="cat-Dategrp-7rplc-17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Кононова С.А.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заключили эмиссионный контракт №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0910-Р-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332615499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рублях, с лимитом кредита </w:t>
      </w:r>
      <w:r>
        <w:rPr>
          <w:rStyle w:val="cat-Sumgrp-21rplc-1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 процентной ставкой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27,4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% годовых.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Ответчику был открыт счет для отражения операций, проводимых с использованием кредитной карты в соответствии с заключенным договором. 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 </w:t>
      </w:r>
      <w:r>
        <w:rPr>
          <w:rStyle w:val="cat-Addressgrp-1rplc-20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условий, за несвоевременное погашение обязательного платежа взимается неустойка в размере 36% годовых, с расчетом от остатка просроченного основного долга и включается в сумму очередного обязательного платежа.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Как усматривается из представленных материалов, истец исполнил свои обязательства по эмиссионному контракту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полном объеме.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Ответчиком же условия договора должным образом не исполняются, были допущены нарушения условий договора в части уплаты начисленных процентов и возврата основного долга, что не оспаривалось ответчиком в судебном заседании. 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Истец направил ответчику требование о досрочном возврате всей суммы задолженности.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instrText xml:space="preserve"> HYPERLINK "consultantplus://offline/ref=832846EDD379C132758BC8F5A63B13741E11CA95BBC50A8E78F632FC770FC389047B67AFD4444C42527A860F5BC944DE89C2B9B3CB712226Y9a0I" </w:instrText>
      </w:r>
      <w:r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6"/>
          <w:szCs w:val="26"/>
          <w:highlight w:val="none"/>
        </w:rPr>
        <w:t>ст. 56</w:t>
      </w:r>
      <w:r>
        <w:rPr>
          <w:rFonts w:ascii="Times New Roman" w:eastAsia="Times New Roman" w:hAnsi="Times New Roman" w:cs="Times New Roman"/>
          <w:color w:val="0000EE"/>
          <w:sz w:val="26"/>
          <w:szCs w:val="26"/>
        </w:rPr>
        <w:fldChar w:fldCharType="end"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ГПК РФ,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По состоянию на </w:t>
      </w:r>
      <w:r>
        <w:rPr>
          <w:rStyle w:val="cat-Dategrp-8rplc-21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образовалась задолженность: просроченный основной долг – </w:t>
      </w:r>
      <w:r>
        <w:rPr>
          <w:rStyle w:val="cat-Sumgrp-18rplc-22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просроченные проценты – </w:t>
      </w:r>
      <w:r>
        <w:rPr>
          <w:rStyle w:val="cat-Sumgrp-19rplc-2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неустойка – </w:t>
      </w:r>
      <w:r>
        <w:rPr>
          <w:rStyle w:val="cat-Sumgrp-20rplc-2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Представленный истцом расчет проверен судом, оснований не согласиться с ним не имеется, расчет задолженности является обоснованным. 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Оценив собранные доказательства по делу в их совокупности, суд приходит к выводу об удовлетворении исковых требований о взыскании задолженности, в связи с чем, с ответчика подлежит взысканию задолженность по эмиссионному контракту в размере </w:t>
      </w:r>
      <w:r>
        <w:rPr>
          <w:rStyle w:val="cat-Sumgrp-16rplc-2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 98 ГПК РФ, стороне, в пользу которой состоялось решение, суд присуждает возместить с другой стороны все понесенные по делу судебные расходы. При таких обстоятельствах, с ответчика в пользу истца подлежат взысканию расходы по оплате госпошлины, уплаченной при подаче искового заявления в размере </w:t>
      </w:r>
      <w:r>
        <w:rPr>
          <w:rStyle w:val="cat-Sumgrp-17rplc-26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руководствуясь ст. ст. 194-198 ГПК РФ, суд</w:t>
      </w:r>
    </w:p>
    <w:p>
      <w:pPr>
        <w:spacing w:before="0" w:after="0"/>
        <w:ind w:firstLine="567"/>
        <w:jc w:val="both"/>
        <w:rPr>
          <w:sz w:val="26"/>
          <w:szCs w:val="26"/>
        </w:rPr>
      </w:pP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pacing w:val="7"/>
          <w:sz w:val="26"/>
          <w:szCs w:val="26"/>
          <w:highlight w:val="none"/>
        </w:rPr>
        <w:t>РЕШИЛ:</w:t>
      </w:r>
    </w:p>
    <w:p>
      <w:pPr>
        <w:spacing w:before="0" w:after="0"/>
        <w:ind w:firstLine="567"/>
        <w:jc w:val="center"/>
        <w:rPr>
          <w:sz w:val="26"/>
          <w:szCs w:val="26"/>
        </w:rPr>
      </w:pP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Московского банка ПАО Сбербанк к Кононовой Светлане Александровне о взыскании задолженности по кредитному договору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- удовлетворить.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Кононовой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Светланы Александровны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ПАО Сбербанк в лице филиала – Московского банка ПАО Сбербанк задолженность по эмиссионному контракту в размере </w:t>
      </w:r>
      <w:r>
        <w:rPr>
          <w:rStyle w:val="cat-Sumgrp-16rplc-29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расходы по оплате государственной пошлины в размере </w:t>
      </w:r>
      <w:r>
        <w:rPr>
          <w:rStyle w:val="cat-Sumgrp-17rplc-30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а всего </w:t>
      </w:r>
      <w:r>
        <w:rPr>
          <w:rStyle w:val="cat-Sumgrp-22rplc-31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567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Addressgrp-0rplc-32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М.А.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Макляк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widowControl w:val="0"/>
        <w:spacing w:before="0" w:after="0"/>
        <w:jc w:val="both"/>
        <w:rPr>
          <w:sz w:val="26"/>
          <w:szCs w:val="26"/>
        </w:rPr>
      </w:pPr>
    </w:p>
    <w:p>
      <w:pPr>
        <w:widowControl w:val="0"/>
        <w:spacing w:before="0" w:after="0"/>
        <w:jc w:val="both"/>
        <w:rPr>
          <w:sz w:val="26"/>
          <w:szCs w:val="26"/>
        </w:rPr>
      </w:pPr>
    </w:p>
    <w:p>
      <w:pPr>
        <w:widowControl w:val="0"/>
        <w:spacing w:before="0" w:after="0"/>
        <w:jc w:val="both"/>
        <w:rPr>
          <w:sz w:val="26"/>
          <w:szCs w:val="26"/>
        </w:rPr>
      </w:pPr>
    </w:p>
    <w:p>
      <w:pPr>
        <w:widowControl w:val="0"/>
        <w:spacing w:before="0" w:after="0"/>
        <w:jc w:val="both"/>
        <w:rPr>
          <w:sz w:val="26"/>
          <w:szCs w:val="26"/>
        </w:rPr>
      </w:pPr>
    </w:p>
    <w:p>
      <w:pPr>
        <w:widowControl w:val="0"/>
        <w:spacing w:before="0" w:after="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Решение суда изгот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овлено в окончательной форме </w:t>
      </w:r>
      <w:r>
        <w:rPr>
          <w:rStyle w:val="cat-Dategrp-9rplc-34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УИД 77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RS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0028-02-2022-002857-96</w:t>
      </w:r>
    </w:p>
    <w:p>
      <w:pPr>
        <w:widowControl w:val="0"/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РЕШЕНИЕ</w:t>
      </w:r>
    </w:p>
    <w:p>
      <w:pPr>
        <w:widowControl w:val="0"/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ИМЕНЕМ РОССИЙСКОЙ ФЕДЕРАЦИИ</w:t>
      </w:r>
    </w:p>
    <w:p>
      <w:pPr>
        <w:widowControl w:val="0"/>
        <w:tabs>
          <w:tab w:val="left" w:pos="8540"/>
        </w:tabs>
        <w:spacing w:before="0" w:after="0"/>
        <w:ind w:firstLine="709"/>
        <w:rPr>
          <w:sz w:val="26"/>
          <w:szCs w:val="26"/>
        </w:rPr>
      </w:pPr>
      <w:r>
        <w:rPr>
          <w:sz w:val="26"/>
          <w:szCs w:val="26"/>
          <w:highlight w:val="none"/>
        </w:rPr>
        <w:tab/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Style w:val="cat-Dategrp-5rplc-35"/>
          <w:rFonts w:ascii="Times New Roman" w:eastAsia="Times New Roman" w:hAnsi="Times New Roman" w:cs="Times New Roman"/>
          <w:sz w:val="26"/>
          <w:szCs w:val="26"/>
          <w:highlight w:val="none"/>
        </w:rPr>
        <w:t>дата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ab/>
      </w:r>
      <w:r>
        <w:rPr>
          <w:rStyle w:val="cat-Addressgrp-0rplc-36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Тимирязевский районный суд </w:t>
      </w:r>
      <w:r>
        <w:rPr>
          <w:rStyle w:val="cat-Addressgrp-0rplc-37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Макляк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М.А., при секретаре </w:t>
      </w:r>
      <w:r>
        <w:rPr>
          <w:rStyle w:val="cat-FIOgrp-12rplc-39"/>
          <w:rFonts w:ascii="Times New Roman" w:eastAsia="Times New Roman" w:hAnsi="Times New Roman" w:cs="Times New Roman"/>
          <w:sz w:val="26"/>
          <w:szCs w:val="26"/>
          <w:highlight w:val="none"/>
        </w:rPr>
        <w:t>фио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1983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/22 по иску ПАО Сбербанк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Кононовой Светлане Александровне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о взыскании задолженности по кредитному договору,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руководствуясь ст. ст. 194-198 ГПК РФ, суд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РЕШИЛ: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Исковые требования ПАО Сбербанк в лице филиала – Московского банка ПАО Сбербанк к Кононовой Светлане Александровне о взыскании задолженности по кредитному договору - удовлетворить.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с Кононовой Светланы Александровны в пользу ПАО Сбербанк в лице филиала – Московского банка ПАО Сбербанк задолженность по эмиссионному контракту в размере </w:t>
      </w:r>
      <w:r>
        <w:rPr>
          <w:rStyle w:val="cat-Sumgrp-16rplc-43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расходы по оплате государственной пошлины в размере </w:t>
      </w:r>
      <w:r>
        <w:rPr>
          <w:rStyle w:val="cat-Sumgrp-17rplc-44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а всего </w:t>
      </w:r>
      <w:r>
        <w:rPr>
          <w:rStyle w:val="cat-Sumgrp-22rplc-45"/>
          <w:rFonts w:ascii="Times New Roman" w:eastAsia="Times New Roman" w:hAnsi="Times New Roman" w:cs="Times New Roman"/>
          <w:sz w:val="26"/>
          <w:szCs w:val="26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Style w:val="cat-Addressgrp-0rplc-46"/>
          <w:rFonts w:ascii="Times New Roman" w:eastAsia="Times New Roman" w:hAnsi="Times New Roman" w:cs="Times New Roman"/>
          <w:sz w:val="26"/>
          <w:szCs w:val="26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</w:p>
    <w:p>
      <w:pPr>
        <w:widowControl w:val="0"/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М.А.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Макляк</w:t>
      </w: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tbl>
      <w:tblPr>
        <w:tblpPr w:leftFromText="180" w:rightFromText="180" w:topFromText="0" w:bottomFromText="0" w:vertAnchor="text" w:tblpY="1"/>
        <w:tblOverlap w:val="never"/>
        <w:tblW w:w="986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68"/>
        <w:gridCol w:w="1416"/>
        <w:gridCol w:w="3784"/>
      </w:tblGrid>
      <w:tr>
        <w:tblPrEx>
          <w:tblW w:w="986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9"/>
        </w:trPr>
        <w:tc>
          <w:tcPr>
            <w:tcW w:w="471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РОССИЙСКАЯ ФЕДЕРАЦИЯ</w:t>
            </w: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Тимирязевский районный суд</w:t>
            </w: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2rplc-48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3rplc-49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4rplc-5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 xml:space="preserve">Тел.: </w:t>
            </w:r>
            <w:r>
              <w:rPr>
                <w:rStyle w:val="cat-PhoneNumbergrp-23rplc-5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телефон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 xml:space="preserve">; факс 8(495)482-21-85 </w:t>
            </w: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-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mail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instrText xml:space="preserve"> HYPERLINK "mailto:timiryazevsky.msk@sudrf.ru" </w:instrTex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timiryazevsky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msk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@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sudrf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ru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u w:val="single" w:color="0000EE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instrText xml:space="preserve"> HYPERLINK "http://timiryazevsky.msk.sudrf.ru" </w:instrTex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http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://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timiryazevsky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msk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sudrf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highlight w:val="none"/>
                <w:u w:val="single" w:color="0000EE"/>
              </w:rPr>
              <w:t>ru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EE"/>
                <w:sz w:val="28"/>
                <w:szCs w:val="28"/>
                <w:u w:val="single" w:color="0000EE"/>
              </w:rPr>
              <w:fldChar w:fldCharType="end"/>
            </w: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 xml:space="preserve">№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  <w:u w:val="single" w:color="000000"/>
              </w:rPr>
              <w:t>_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  <w:u w:val="single" w:color="000000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  <w:u w:val="single" w:color="000000"/>
              </w:rPr>
              <w:t>2-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  <w:u w:val="single" w:color="000000"/>
              </w:rPr>
              <w:t>1983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  <w:u w:val="single" w:color="000000"/>
              </w:rPr>
              <w:t>/22</w:t>
            </w:r>
          </w:p>
        </w:tc>
        <w:tc>
          <w:tcPr>
            <w:tcW w:w="1325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keepNext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8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ПАО Сбербанк</w:t>
            </w: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Кононова С.А.</w:t>
            </w: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 </w:t>
            </w:r>
          </w:p>
          <w:p>
            <w:pPr>
              <w:widowControl w:val="0"/>
              <w:spacing w:before="0" w:after="0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widowControl w:val="0"/>
        <w:spacing w:before="0" w:after="0"/>
        <w:ind w:right="5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 </w:t>
      </w:r>
    </w:p>
    <w:p>
      <w:pPr>
        <w:spacing w:before="0" w:after="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 </w:t>
      </w:r>
    </w:p>
    <w:p>
      <w:pPr>
        <w:spacing w:before="0" w:after="0"/>
        <w:ind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Тимирязевский районный суд </w:t>
      </w:r>
      <w:r>
        <w:rPr>
          <w:rStyle w:val="cat-Addressgrp-0rplc-53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направляет Вам копию мотивированного решения суда по гражданскому делу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№ 2-1983/22 по иску ПАО Сбербанк в лице филиала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Московского банка ПАО Сбербанк к Кононовой Светлане Александровне о взыскании задолженности по 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708"/>
        <w:jc w:val="both"/>
        <w:rPr>
          <w:sz w:val="28"/>
          <w:szCs w:val="28"/>
        </w:rPr>
      </w:pP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М.А.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Макляк</w:t>
      </w: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p>
      <w:pPr>
        <w:spacing w:before="0" w:after="200" w:line="276" w:lineRule="auto"/>
        <w:ind w:firstLine="709"/>
        <w:rPr>
          <w:sz w:val="26"/>
          <w:szCs w:val="26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t-Dategrp-5rplc-0">
    <w:name w:val="cat-Date grp-5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Addressgrp-0rplc-2">
    <w:name w:val="cat-Address grp-0 rplc-2"/>
    <w:basedOn w:val="DefaultParagraphFont"/>
  </w:style>
  <w:style w:type="character" w:customStyle="1" w:styleId="cat-FIOgrp-12rplc-4">
    <w:name w:val="cat-FIO grp-12 rplc-4"/>
    <w:basedOn w:val="DefaultParagraphFont"/>
  </w:style>
  <w:style w:type="character" w:customStyle="1" w:styleId="cat-Dategrp-6rplc-7">
    <w:name w:val="cat-Date grp-6 rplc-7"/>
    <w:basedOn w:val="DefaultParagraphFont"/>
  </w:style>
  <w:style w:type="character" w:customStyle="1" w:styleId="cat-Sumgrp-16rplc-8">
    <w:name w:val="cat-Sum grp-16 rplc-8"/>
    <w:basedOn w:val="DefaultParagraphFont"/>
  </w:style>
  <w:style w:type="character" w:customStyle="1" w:styleId="cat-Sumgrp-17rplc-9">
    <w:name w:val="cat-Sum grp-17 rplc-9"/>
    <w:basedOn w:val="DefaultParagraphFont"/>
  </w:style>
  <w:style w:type="character" w:customStyle="1" w:styleId="cat-Dategrp-7rplc-10">
    <w:name w:val="cat-Date grp-7 rplc-10"/>
    <w:basedOn w:val="DefaultParagraphFont"/>
  </w:style>
  <w:style w:type="character" w:customStyle="1" w:styleId="cat-Dategrp-8rplc-12">
    <w:name w:val="cat-Date grp-8 rplc-12"/>
    <w:basedOn w:val="DefaultParagraphFont"/>
  </w:style>
  <w:style w:type="character" w:customStyle="1" w:styleId="cat-Sumgrp-18rplc-13">
    <w:name w:val="cat-Sum grp-18 rplc-13"/>
    <w:basedOn w:val="DefaultParagraphFont"/>
  </w:style>
  <w:style w:type="character" w:customStyle="1" w:styleId="cat-Sumgrp-19rplc-14">
    <w:name w:val="cat-Sum grp-19 rplc-14"/>
    <w:basedOn w:val="DefaultParagraphFont"/>
  </w:style>
  <w:style w:type="character" w:customStyle="1" w:styleId="cat-Sumgrp-20rplc-15">
    <w:name w:val="cat-Sum grp-20 rplc-15"/>
    <w:basedOn w:val="DefaultParagraphFont"/>
  </w:style>
  <w:style w:type="character" w:customStyle="1" w:styleId="cat-Dategrp-7rplc-17">
    <w:name w:val="cat-Date grp-7 rplc-17"/>
    <w:basedOn w:val="DefaultParagraphFont"/>
  </w:style>
  <w:style w:type="character" w:customStyle="1" w:styleId="cat-Sumgrp-21rplc-19">
    <w:name w:val="cat-Sum grp-21 rplc-19"/>
    <w:basedOn w:val="DefaultParagraphFont"/>
  </w:style>
  <w:style w:type="character" w:customStyle="1" w:styleId="cat-Addressgrp-1rplc-20">
    <w:name w:val="cat-Address grp-1 rplc-20"/>
    <w:basedOn w:val="DefaultParagraphFont"/>
  </w:style>
  <w:style w:type="character" w:customStyle="1" w:styleId="cat-Dategrp-8rplc-21">
    <w:name w:val="cat-Date grp-8 rplc-21"/>
    <w:basedOn w:val="DefaultParagraphFont"/>
  </w:style>
  <w:style w:type="character" w:customStyle="1" w:styleId="cat-Sumgrp-18rplc-22">
    <w:name w:val="cat-Sum grp-18 rplc-22"/>
    <w:basedOn w:val="DefaultParagraphFont"/>
  </w:style>
  <w:style w:type="character" w:customStyle="1" w:styleId="cat-Sumgrp-19rplc-23">
    <w:name w:val="cat-Sum grp-19 rplc-23"/>
    <w:basedOn w:val="DefaultParagraphFont"/>
  </w:style>
  <w:style w:type="character" w:customStyle="1" w:styleId="cat-Sumgrp-20rplc-24">
    <w:name w:val="cat-Sum grp-20 rplc-24"/>
    <w:basedOn w:val="DefaultParagraphFont"/>
  </w:style>
  <w:style w:type="character" w:customStyle="1" w:styleId="cat-Sumgrp-16rplc-25">
    <w:name w:val="cat-Sum grp-16 rplc-25"/>
    <w:basedOn w:val="DefaultParagraphFont"/>
  </w:style>
  <w:style w:type="character" w:customStyle="1" w:styleId="cat-Sumgrp-17rplc-26">
    <w:name w:val="cat-Sum grp-17 rplc-26"/>
    <w:basedOn w:val="DefaultParagraphFont"/>
  </w:style>
  <w:style w:type="character" w:customStyle="1" w:styleId="cat-Sumgrp-16rplc-29">
    <w:name w:val="cat-Sum grp-16 rplc-29"/>
    <w:basedOn w:val="DefaultParagraphFont"/>
  </w:style>
  <w:style w:type="character" w:customStyle="1" w:styleId="cat-Sumgrp-17rplc-30">
    <w:name w:val="cat-Sum grp-17 rplc-30"/>
    <w:basedOn w:val="DefaultParagraphFont"/>
  </w:style>
  <w:style w:type="character" w:customStyle="1" w:styleId="cat-Sumgrp-22rplc-31">
    <w:name w:val="cat-Sum grp-22 rplc-31"/>
    <w:basedOn w:val="DefaultParagraphFont"/>
  </w:style>
  <w:style w:type="character" w:customStyle="1" w:styleId="cat-Addressgrp-0rplc-32">
    <w:name w:val="cat-Address grp-0 rplc-32"/>
    <w:basedOn w:val="DefaultParagraphFont"/>
  </w:style>
  <w:style w:type="character" w:customStyle="1" w:styleId="cat-Dategrp-9rplc-34">
    <w:name w:val="cat-Date grp-9 rplc-34"/>
    <w:basedOn w:val="DefaultParagraphFont"/>
  </w:style>
  <w:style w:type="character" w:customStyle="1" w:styleId="cat-Dategrp-5rplc-35">
    <w:name w:val="cat-Date grp-5 rplc-35"/>
    <w:basedOn w:val="DefaultParagraphFont"/>
  </w:style>
  <w:style w:type="character" w:customStyle="1" w:styleId="cat-Addressgrp-0rplc-36">
    <w:name w:val="cat-Address grp-0 rplc-36"/>
    <w:basedOn w:val="DefaultParagraphFont"/>
  </w:style>
  <w:style w:type="character" w:customStyle="1" w:styleId="cat-Addressgrp-0rplc-37">
    <w:name w:val="cat-Address grp-0 rplc-37"/>
    <w:basedOn w:val="DefaultParagraphFont"/>
  </w:style>
  <w:style w:type="character" w:customStyle="1" w:styleId="cat-FIOgrp-12rplc-39">
    <w:name w:val="cat-FIO grp-12 rplc-39"/>
    <w:basedOn w:val="DefaultParagraphFont"/>
  </w:style>
  <w:style w:type="character" w:customStyle="1" w:styleId="cat-Sumgrp-16rplc-43">
    <w:name w:val="cat-Sum grp-16 rplc-43"/>
    <w:basedOn w:val="DefaultParagraphFont"/>
  </w:style>
  <w:style w:type="character" w:customStyle="1" w:styleId="cat-Sumgrp-17rplc-44">
    <w:name w:val="cat-Sum grp-17 rplc-44"/>
    <w:basedOn w:val="DefaultParagraphFont"/>
  </w:style>
  <w:style w:type="character" w:customStyle="1" w:styleId="cat-Sumgrp-22rplc-45">
    <w:name w:val="cat-Sum grp-22 rplc-45"/>
    <w:basedOn w:val="DefaultParagraphFont"/>
  </w:style>
  <w:style w:type="character" w:customStyle="1" w:styleId="cat-Addressgrp-0rplc-46">
    <w:name w:val="cat-Address grp-0 rplc-46"/>
    <w:basedOn w:val="DefaultParagraphFont"/>
  </w:style>
  <w:style w:type="character" w:customStyle="1" w:styleId="cat-Addressgrp-2rplc-48">
    <w:name w:val="cat-Address grp-2 rplc-48"/>
    <w:basedOn w:val="DefaultParagraphFont"/>
  </w:style>
  <w:style w:type="character" w:customStyle="1" w:styleId="cat-Addressgrp-3rplc-49">
    <w:name w:val="cat-Address grp-3 rplc-49"/>
    <w:basedOn w:val="DefaultParagraphFont"/>
  </w:style>
  <w:style w:type="character" w:customStyle="1" w:styleId="cat-Addressgrp-4rplc-50">
    <w:name w:val="cat-Address grp-4 rplc-50"/>
    <w:basedOn w:val="DefaultParagraphFont"/>
  </w:style>
  <w:style w:type="character" w:customStyle="1" w:styleId="cat-PhoneNumbergrp-23rplc-51">
    <w:name w:val="cat-PhoneNumber grp-23 rplc-51"/>
    <w:basedOn w:val="DefaultParagraphFont"/>
  </w:style>
  <w:style w:type="character" w:customStyle="1" w:styleId="cat-Addressgrp-0rplc-53">
    <w:name w:val="cat-Address grp-0 rplc-5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