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23F905" w14:textId="77777777" w:rsidR="00000000" w:rsidRDefault="00EE3EE3">
      <w:pPr>
        <w:ind w:firstLine="567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1151A58" w14:textId="77777777" w:rsidR="00000000" w:rsidRDefault="00EE3EE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1A08088" w14:textId="77777777" w:rsidR="00000000" w:rsidRDefault="00EE3EE3">
      <w:pPr>
        <w:ind w:firstLine="567"/>
        <w:rPr>
          <w:lang w:val="en-BE" w:eastAsia="en-BE" w:bidi="ar-SA"/>
        </w:rPr>
      </w:pPr>
    </w:p>
    <w:p w14:paraId="056F9DBA" w14:textId="77777777" w:rsidR="00000000" w:rsidRDefault="00EE3EE3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</w:t>
      </w:r>
      <w:r>
        <w:rPr>
          <w:rStyle w:val="cat-Dategrp-1rplc-1"/>
          <w:lang w:val="en-BE" w:eastAsia="en-BE" w:bidi="ar-SA"/>
        </w:rPr>
        <w:t>дата</w:t>
      </w:r>
    </w:p>
    <w:p w14:paraId="2602A484" w14:textId="77777777" w:rsidR="00000000" w:rsidRDefault="00EE3EE3">
      <w:pPr>
        <w:ind w:firstLine="567"/>
        <w:jc w:val="both"/>
        <w:rPr>
          <w:lang w:val="en-BE" w:eastAsia="en-BE" w:bidi="ar-SA"/>
        </w:rPr>
      </w:pPr>
    </w:p>
    <w:p w14:paraId="4E6E26EA" w14:textId="77777777" w:rsidR="00000000" w:rsidRDefault="00EE3EE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8rplc-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2-2077/2020 по иску ПАО Сберб</w:t>
      </w:r>
      <w:r>
        <w:rPr>
          <w:lang w:val="en-BE" w:eastAsia="en-BE" w:bidi="ar-SA"/>
        </w:rPr>
        <w:t xml:space="preserve">анк в лице филиала – Среднерусский банк ПАО Сбербанк к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</w:t>
      </w:r>
    </w:p>
    <w:p w14:paraId="72D7BA15" w14:textId="77777777" w:rsidR="00000000" w:rsidRDefault="00EE3EE3">
      <w:pPr>
        <w:ind w:firstLine="567"/>
        <w:jc w:val="both"/>
        <w:rPr>
          <w:lang w:val="en-BE" w:eastAsia="en-BE" w:bidi="ar-SA"/>
        </w:rPr>
      </w:pPr>
    </w:p>
    <w:p w14:paraId="590A9C55" w14:textId="77777777" w:rsidR="00000000" w:rsidRDefault="00EE3EE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71C4784" w14:textId="77777777" w:rsidR="00000000" w:rsidRDefault="00EE3EE3">
      <w:pPr>
        <w:ind w:firstLine="567"/>
        <w:jc w:val="center"/>
        <w:rPr>
          <w:lang w:val="en-BE" w:eastAsia="en-BE" w:bidi="ar-SA"/>
        </w:rPr>
      </w:pPr>
    </w:p>
    <w:p w14:paraId="62F0563D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Среднерусский банка ПАО Сбербанк обратился в суд с названным иском к ответчику </w:t>
      </w:r>
      <w:r>
        <w:rPr>
          <w:rStyle w:val="cat-FIOgrp-9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, указывая в обоснование иска, что </w:t>
      </w:r>
      <w:r>
        <w:rPr>
          <w:rStyle w:val="cat-Dategrp-2rplc-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заключен договор на предоставление возобновляемой кредитной линии, посредством выдачи ответчику банковской карты, с предоставлением по ней кредитом и обслуживание счета по данной карте в российских рублях. Указанный договор заключен в результате публичной</w:t>
      </w:r>
      <w:r>
        <w:rPr>
          <w:lang w:val="en-BE" w:eastAsia="en-BE" w:bidi="ar-SA"/>
        </w:rPr>
        <w:t xml:space="preserve"> оферты путем оформления ответчиком заявления на получение кредитной карты Сбербанка России и ознакомления его с Общими условиями выпуска и обслуживания кредитной карты Сбербанка, Тарифами Банка и Памяткой Держателя международных банковский карт. Данный до</w:t>
      </w:r>
      <w:r>
        <w:rPr>
          <w:lang w:val="en-BE" w:eastAsia="en-BE" w:bidi="ar-SA"/>
        </w:rPr>
        <w:t xml:space="preserve">говор, по своему существу, является договором присоединения, основные положения которого в одностороннем порядке сформированы Сбербанком России в Условиях. Во исполнение заключенного договора ответчику была выдана кредитная карта № </w:t>
      </w:r>
      <w:r>
        <w:rPr>
          <w:rStyle w:val="cat-UserDefinedgrp-21rplc-8"/>
          <w:lang w:val="en-BE" w:eastAsia="en-BE" w:bidi="ar-SA"/>
        </w:rPr>
        <w:t>...</w:t>
      </w:r>
      <w:r>
        <w:rPr>
          <w:lang w:val="en-BE" w:eastAsia="en-BE" w:bidi="ar-SA"/>
        </w:rPr>
        <w:t xml:space="preserve"> с лимитом кредита </w:t>
      </w:r>
      <w:r>
        <w:rPr>
          <w:rStyle w:val="cat-Sumgrp-12rplc-9"/>
          <w:lang w:val="en-BE" w:eastAsia="en-BE" w:bidi="ar-SA"/>
        </w:rPr>
        <w:t>су</w:t>
      </w:r>
      <w:r>
        <w:rPr>
          <w:rStyle w:val="cat-Sumgrp-12rplc-9"/>
          <w:lang w:val="en-BE" w:eastAsia="en-BE" w:bidi="ar-SA"/>
        </w:rPr>
        <w:t>мма</w:t>
      </w:r>
      <w:r>
        <w:rPr>
          <w:lang w:val="en-BE" w:eastAsia="en-BE" w:bidi="ar-SA"/>
        </w:rPr>
        <w:t>.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</w:t>
      </w:r>
      <w:r>
        <w:rPr>
          <w:lang w:val="en-BE" w:eastAsia="en-BE" w:bidi="ar-SA"/>
        </w:rPr>
        <w:t>итной карты, в соответствии с заключенным договором. В соответствии с пунктами 2.3, 3.30, 4.1, 4.6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</w:t>
      </w:r>
      <w:r>
        <w:rPr>
          <w:lang w:val="en-BE" w:eastAsia="en-BE" w:bidi="ar-SA"/>
        </w:rPr>
        <w:t>менным уменьшением доступного лимита. Кредит по карте предоставляется ответчику в размере кредитного лимита, под 25,9 % годовых на условиях, определенных Тарифами Сбербанка. При этом Сбербанк России обязуется ежемесячно формировать и предоставлять ответчик</w:t>
      </w:r>
      <w:r>
        <w:rPr>
          <w:lang w:val="en-BE" w:eastAsia="en-BE" w:bidi="ar-SA"/>
        </w:rPr>
        <w:t>у отчеты по карте с указанием совершенных по карте операций, платежей за пользование кредитными денежными средствами, в том числе сумм обязательных платежей по карте. Согласно Условиям, погашение кредита и уплата процентов за его использование осуществляет</w:t>
      </w:r>
      <w:r>
        <w:rPr>
          <w:lang w:val="en-BE" w:eastAsia="en-BE" w:bidi="ar-SA"/>
        </w:rPr>
        <w:t xml:space="preserve">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</w:t>
      </w:r>
      <w:r>
        <w:rPr>
          <w:lang w:val="en-BE" w:eastAsia="en-BE" w:bidi="ar-SA"/>
        </w:rPr>
        <w:t>карте. Пунктом 5.3 Условий предусмотрено, что за несвоевременное погашение обязательных платежей взимается неустойка в соответствии с Тарифами Сбербанка. Платежи в счет погашения задолженности по кредиту ответчиком производились с нарушениями в части сроко</w:t>
      </w:r>
      <w:r>
        <w:rPr>
          <w:lang w:val="en-BE" w:eastAsia="en-BE" w:bidi="ar-SA"/>
        </w:rPr>
        <w:t xml:space="preserve">в и сумм, обязательных к погашению. В связи с вышеизложенным, за ответчиком по состоянию на </w:t>
      </w:r>
      <w:r>
        <w:rPr>
          <w:rStyle w:val="cat-Dategrp-3rplc-1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образовалась просроченная задолженность по банковской карте, в размере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просроченная задолженность по основному долгу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>; просроченные пр</w:t>
      </w:r>
      <w:r>
        <w:rPr>
          <w:lang w:val="en-BE" w:eastAsia="en-BE" w:bidi="ar-SA"/>
        </w:rPr>
        <w:t xml:space="preserve">оценты –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–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>. Банком в адрес держателя направлялось требование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39294059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</w:t>
      </w:r>
      <w:r>
        <w:rPr>
          <w:lang w:val="en-BE" w:eastAsia="en-BE" w:bidi="ar-SA"/>
        </w:rPr>
        <w:t xml:space="preserve">истец ПАО Сбербанк просил суд сумму задолженности по </w:t>
      </w:r>
      <w:r>
        <w:rPr>
          <w:lang w:val="en-BE" w:eastAsia="en-BE" w:bidi="ar-SA"/>
        </w:rPr>
        <w:lastRenderedPageBreak/>
        <w:t xml:space="preserve">банковской карте № </w:t>
      </w:r>
      <w:r>
        <w:rPr>
          <w:rStyle w:val="cat-UserDefinedgrp-21rplc-15"/>
          <w:lang w:val="en-BE" w:eastAsia="en-BE" w:bidi="ar-SA"/>
        </w:rPr>
        <w:t>...</w:t>
      </w:r>
      <w:r>
        <w:rPr>
          <w:lang w:val="en-BE" w:eastAsia="en-BE" w:bidi="ar-SA"/>
        </w:rPr>
        <w:t xml:space="preserve">, в размере </w:t>
      </w:r>
      <w:r>
        <w:rPr>
          <w:rStyle w:val="cat-Sumgrp-13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17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E96562B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судебное заседание истец - </w:t>
      </w:r>
      <w:r>
        <w:rPr>
          <w:rStyle w:val="cat-OrganizationNamegrp-19rplc-1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своего представителя не направил, о месте и вре</w:t>
      </w:r>
      <w:r>
        <w:rPr>
          <w:lang w:val="en-BE" w:eastAsia="en-BE" w:bidi="ar-SA"/>
        </w:rPr>
        <w:t>мени извещен, имеется заявление о рассмотрении дела в отсутствии представителя истца.</w:t>
      </w:r>
    </w:p>
    <w:p w14:paraId="6874A688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9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времени и месте рассмотрения дела извещен судом надлежащим образом. В судебном заседании </w:t>
      </w:r>
      <w:r>
        <w:rPr>
          <w:rStyle w:val="cat-Dategrp-4rplc-20"/>
          <w:lang w:val="en-BE" w:eastAsia="en-BE" w:bidi="ar-SA"/>
        </w:rPr>
        <w:t>дата</w:t>
      </w:r>
      <w:r>
        <w:rPr>
          <w:lang w:val="en-BE" w:eastAsia="en-BE" w:bidi="ar-SA"/>
        </w:rPr>
        <w:t>, иск не признал, и просил отк</w:t>
      </w:r>
      <w:r>
        <w:rPr>
          <w:lang w:val="en-BE" w:eastAsia="en-BE" w:bidi="ar-SA"/>
        </w:rPr>
        <w:t>азать в удовлетворении иска, поскольку задолженность перед Банком он полностью погасил.</w:t>
      </w:r>
    </w:p>
    <w:p w14:paraId="5E25936F" w14:textId="77777777" w:rsidR="00000000" w:rsidRDefault="00EE3EE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этим, суд определил рассмотреть дело в отсутствие сторон, по имеющимся в материалах дела доказательствам. </w:t>
      </w:r>
    </w:p>
    <w:p w14:paraId="6295F5F8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оценив д</w:t>
      </w:r>
      <w:r>
        <w:rPr>
          <w:lang w:val="en-BE" w:eastAsia="en-BE" w:bidi="ar-SA"/>
        </w:rPr>
        <w:t>оказательства в их совокупности, считает, что исковые требования подлежат частичному удовлетворению по следующим основаниям.</w:t>
      </w:r>
    </w:p>
    <w:p w14:paraId="2E0A1378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положениям ст. ст. 420, 424, 425, 432, 434 ГК РФ договор заключается посредством направления оферты одной из сторон и ее а</w:t>
      </w:r>
      <w:r>
        <w:rPr>
          <w:lang w:val="en-BE" w:eastAsia="en-BE" w:bidi="ar-SA"/>
        </w:rPr>
        <w:t>кцепта другой стороной и признается заключенным в момент получения лицом, направившим оферту, ее акцента. Письменная форма договора считается соблюденной, если лицо, получившее оферту в письменной форме, совершило действие по выполнению условий в ней указа</w:t>
      </w:r>
      <w:r>
        <w:rPr>
          <w:lang w:val="en-BE" w:eastAsia="en-BE" w:bidi="ar-SA"/>
        </w:rPr>
        <w:t>нных. Договором признается соглашение двух или нескольких лиц об установлении, изменении или прекращении гражданских прав и обязанностей. Исполнение договора оплачивается по цене, установленной соглашением сторон. Договор вступает в силу и становится обяза</w:t>
      </w:r>
      <w:r>
        <w:rPr>
          <w:lang w:val="en-BE" w:eastAsia="en-BE" w:bidi="ar-SA"/>
        </w:rPr>
        <w:t>тельным для сторон с момента его заключения.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</w:t>
      </w:r>
      <w:r>
        <w:rPr>
          <w:lang w:val="en-BE" w:eastAsia="en-BE" w:bidi="ar-SA"/>
        </w:rPr>
        <w:t>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может быть заключен в лю</w:t>
      </w:r>
      <w:r>
        <w:rPr>
          <w:lang w:val="en-BE" w:eastAsia="en-BE" w:bidi="ar-SA"/>
        </w:rPr>
        <w:t>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5399BD68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307 ГК РФ, в силу обязательства одно лицо (должник) обязано совершить в пользу другого лица (кредитора) опред</w:t>
      </w:r>
      <w:r>
        <w:rPr>
          <w:lang w:val="en-BE" w:eastAsia="en-BE" w:bidi="ar-SA"/>
        </w:rPr>
        <w:t>еленное действие, как 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4C041E50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ст. 309 ГК РФ, обязательства должн</w:t>
      </w:r>
      <w:r>
        <w:rPr>
          <w:lang w:val="en-BE" w:eastAsia="en-BE" w:bidi="ar-SA"/>
        </w:rPr>
        <w:t>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50BD39B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</w:t>
      </w:r>
      <w:r>
        <w:rPr>
          <w:lang w:val="en-BE" w:eastAsia="en-BE" w:bidi="ar-SA"/>
        </w:rPr>
        <w:t>ласно ст. 310 ГК РФ,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 Односторонний отказ от исполнения обязательства, связанного с осуществлением его сто</w:t>
      </w:r>
      <w:r>
        <w:rPr>
          <w:lang w:val="en-BE" w:eastAsia="en-BE" w:bidi="ar-SA"/>
        </w:rPr>
        <w:t>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41C1B467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ст. 809 - 8</w:t>
      </w:r>
      <w:r>
        <w:rPr>
          <w:lang w:val="en-BE" w:eastAsia="en-BE" w:bidi="ar-SA"/>
        </w:rPr>
        <w:t>11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Заемщик обязан возвратить займодавцу полученную сумму займа в срок и в</w:t>
      </w:r>
      <w:r>
        <w:rPr>
          <w:lang w:val="en-BE" w:eastAsia="en-BE" w:bidi="ar-SA"/>
        </w:rPr>
        <w:t xml:space="preserve"> порядке, которые предусмотрены договором займа. Если иное не предусмотрено законом или договором займа, в случаях, когда заемщик </w:t>
      </w:r>
      <w:r>
        <w:rPr>
          <w:lang w:val="en-BE" w:eastAsia="en-BE" w:bidi="ar-SA"/>
        </w:rPr>
        <w:lastRenderedPageBreak/>
        <w:t>не возвращает в срок сумму займа, на эту сумму подлежат уплате проценты в размере, предусмотренном пунктом 1 статьи 395 ГК РФ,</w:t>
      </w:r>
      <w:r>
        <w:rPr>
          <w:lang w:val="en-BE" w:eastAsia="en-BE" w:bidi="ar-SA"/>
        </w:rPr>
        <w:t xml:space="preserve"> со дня, когда она должна быть возвращена, до дня ее возврата займодавцу независимо от уплаты процентов, предусмотренных пунктом 1 статьи 809 ГК РФ.</w:t>
      </w:r>
    </w:p>
    <w:p w14:paraId="3F32BE1E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 обязуется предоставить денежные средства заемщи</w:t>
      </w:r>
      <w:r>
        <w:rPr>
          <w:lang w:val="en-BE" w:eastAsia="en-BE" w:bidi="ar-SA"/>
        </w:rPr>
        <w:t>ку в размере и на условиях договора, а заемщик обязуется возвратить полученную денежную сумму и уплатить проценты от нее.</w:t>
      </w:r>
    </w:p>
    <w:p w14:paraId="18B4518E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Dategrp-2rplc-21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FIOgrp-9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подал заявление на получение кредитной карты VISA GOLD, при подаче заявления был ознакомлен с Условиям</w:t>
      </w:r>
      <w:r>
        <w:rPr>
          <w:lang w:val="en-BE" w:eastAsia="en-BE" w:bidi="ar-SA"/>
        </w:rPr>
        <w:t xml:space="preserve">и выпуска и обслуживания кредитной карты Сбербанка, Тарифами Сбербанка. Кредит по карте предоставлялся ответчику, в размере кредитного лимита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>, под 25,9 % годовых, на условиях, определенных Тарифами на выпуск и обслуживание кредитных карт.</w:t>
      </w:r>
    </w:p>
    <w:p w14:paraId="58A96118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FIOgrp-9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по</w:t>
      </w:r>
      <w:r>
        <w:rPr>
          <w:lang w:val="en-BE" w:eastAsia="en-BE" w:bidi="ar-SA"/>
        </w:rPr>
        <w:t xml:space="preserve">лучена кредитная карта VISA GOLD № </w:t>
      </w:r>
      <w:r>
        <w:rPr>
          <w:rStyle w:val="cat-UserDefinedgrp-21rplc-25"/>
          <w:lang w:val="en-BE" w:eastAsia="en-BE" w:bidi="ar-SA"/>
        </w:rPr>
        <w:t>...</w:t>
      </w:r>
      <w:r>
        <w:rPr>
          <w:lang w:val="en-BE" w:eastAsia="en-BE" w:bidi="ar-SA"/>
        </w:rPr>
        <w:t xml:space="preserve">, с лимитом кредита </w:t>
      </w:r>
      <w:r>
        <w:rPr>
          <w:rStyle w:val="cat-Sumgrp-12rplc-2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4FEAB82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предоставления и возврата кредита были изложены в информации о полной стоимости кредита, прилагаемой к Условиям выпуска и обслуживания кредитной карты Сбербанк России.</w:t>
      </w:r>
    </w:p>
    <w:p w14:paraId="6906999A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имя </w:t>
      </w:r>
      <w:r>
        <w:rPr>
          <w:rStyle w:val="cat-FIOgrp-9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</w:t>
      </w:r>
      <w:r>
        <w:rPr>
          <w:lang w:val="en-BE" w:eastAsia="en-BE" w:bidi="ar-SA"/>
        </w:rPr>
        <w:t xml:space="preserve">ыт счет № </w:t>
      </w:r>
      <w:r>
        <w:rPr>
          <w:rStyle w:val="cat-UserDefinedgrp-22rplc-28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операций, проводимых с использованием международной кредитной карты, в соответствии с заключенным договором.</w:t>
      </w:r>
    </w:p>
    <w:p w14:paraId="3D3FA10E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Расчетом задолженности, представленным ПАО Сбербанк, в лице филиала Среднерусского банка ПАО Сбербанк, по состоянию на </w:t>
      </w:r>
      <w:r>
        <w:rPr>
          <w:rStyle w:val="cat-Dategrp-3rplc-2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подтверждается, что нарушение обязательств по ежемесячной оплате по банковской карте </w:t>
      </w:r>
      <w:r>
        <w:rPr>
          <w:rStyle w:val="cat-FIOgrp-9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привело к образованию задолженности, в размере </w:t>
      </w:r>
      <w:r>
        <w:rPr>
          <w:rStyle w:val="cat-Sumgrp-13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просроченная задолженность по основному долгу </w:t>
      </w:r>
      <w:r>
        <w:rPr>
          <w:rStyle w:val="cat-Sumgrp-14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5rplc-33"/>
          <w:lang w:val="en-BE" w:eastAsia="en-BE" w:bidi="ar-SA"/>
        </w:rPr>
        <w:t>сумма</w:t>
      </w:r>
      <w:r>
        <w:rPr>
          <w:lang w:val="en-BE" w:eastAsia="en-BE" w:bidi="ar-SA"/>
        </w:rPr>
        <w:t>; неустойка –</w:t>
      </w:r>
      <w:r>
        <w:rPr>
          <w:lang w:val="en-BE" w:eastAsia="en-BE" w:bidi="ar-SA"/>
        </w:rPr>
        <w:t xml:space="preserve"> </w:t>
      </w:r>
      <w:r>
        <w:rPr>
          <w:rStyle w:val="cat-Sumgrp-16rplc-3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D127671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56 Гражданского процессуального кодекса Российской Федерации (далее - ГК РФ),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</w:t>
      </w:r>
      <w:r>
        <w:rPr>
          <w:lang w:val="en-BE" w:eastAsia="en-BE" w:bidi="ar-SA"/>
        </w:rPr>
        <w:t>ральным законом.</w:t>
      </w:r>
    </w:p>
    <w:p w14:paraId="5856BD84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рассмотрения дела, ответчик </w:t>
      </w:r>
      <w:r>
        <w:rPr>
          <w:rStyle w:val="cat-FIOgrp-9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представил копию квитанции, справку ПАО Сбербанк, подтверждающие отсутствие задолженности у него по банковской карте.</w:t>
      </w:r>
    </w:p>
    <w:p w14:paraId="12B16372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в совокупности представленные по делу доказательства, суд приходит к выво</w:t>
      </w:r>
      <w:r>
        <w:rPr>
          <w:lang w:val="en-BE" w:eastAsia="en-BE" w:bidi="ar-SA"/>
        </w:rPr>
        <w:t xml:space="preserve">ду о том, что требование истца ПАО Сбербанк к ответчику </w:t>
      </w:r>
      <w:r>
        <w:rPr>
          <w:rStyle w:val="cat-FIOgrp-9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банковской карте не подлежит удовлетворению, поскольку задолженность по банковской карте № </w:t>
      </w:r>
      <w:r>
        <w:rPr>
          <w:rStyle w:val="cat-UserDefinedgrp-21rplc-37"/>
          <w:lang w:val="en-BE" w:eastAsia="en-BE" w:bidi="ar-SA"/>
        </w:rPr>
        <w:t>...</w:t>
      </w:r>
      <w:r>
        <w:rPr>
          <w:lang w:val="en-BE" w:eastAsia="en-BE" w:bidi="ar-SA"/>
        </w:rPr>
        <w:t xml:space="preserve"> была погашена ответчиком </w:t>
      </w: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полном объеме до принятия судом решения п</w:t>
      </w:r>
      <w:r>
        <w:rPr>
          <w:lang w:val="en-BE" w:eastAsia="en-BE" w:bidi="ar-SA"/>
        </w:rPr>
        <w:t>о заявленному спору.</w:t>
      </w:r>
    </w:p>
    <w:p w14:paraId="3A40D4DF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при подаче в суд иска оплатил государственную пошлину в размере </w:t>
      </w:r>
      <w:r>
        <w:rPr>
          <w:rStyle w:val="cat-Sumgrp-17rplc-39"/>
          <w:lang w:val="en-BE" w:eastAsia="en-BE" w:bidi="ar-SA"/>
        </w:rPr>
        <w:t>сумма</w:t>
      </w:r>
      <w:r>
        <w:rPr>
          <w:lang w:val="en-BE" w:eastAsia="en-BE" w:bidi="ar-SA"/>
        </w:rPr>
        <w:t>, что надлежащим образом подтверждено.</w:t>
      </w:r>
    </w:p>
    <w:p w14:paraId="64333B49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Учитывая, что ответчик задолженность по банковской карте погасил после предъявления ПАО Сбербанк иска, суд полагает, что </w:t>
      </w:r>
      <w:r>
        <w:rPr>
          <w:lang w:val="en-BE" w:eastAsia="en-BE" w:bidi="ar-SA"/>
        </w:rPr>
        <w:t xml:space="preserve">с </w:t>
      </w:r>
      <w:r>
        <w:rPr>
          <w:rStyle w:val="cat-FIOgrp-9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истца подлежит взысканию оплаченная государственная пошлина в указанном размере </w:t>
      </w:r>
      <w:r>
        <w:rPr>
          <w:rStyle w:val="cat-Sumgrp-18rplc-4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C765C47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194 - 199 ГПК РФ, суд</w:t>
      </w:r>
    </w:p>
    <w:p w14:paraId="03BED3D5" w14:textId="77777777" w:rsidR="00000000" w:rsidRDefault="00EE3EE3">
      <w:pPr>
        <w:widowControl w:val="0"/>
        <w:ind w:firstLine="567"/>
        <w:jc w:val="center"/>
        <w:rPr>
          <w:lang w:val="en-BE" w:eastAsia="en-BE" w:bidi="ar-SA"/>
        </w:rPr>
      </w:pPr>
    </w:p>
    <w:p w14:paraId="4AD14328" w14:textId="77777777" w:rsidR="00000000" w:rsidRDefault="00EE3EE3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90A38E3" w14:textId="77777777" w:rsidR="00000000" w:rsidRDefault="00EE3EE3">
      <w:pPr>
        <w:widowControl w:val="0"/>
        <w:ind w:firstLine="567"/>
        <w:jc w:val="center"/>
        <w:rPr>
          <w:lang w:val="en-BE" w:eastAsia="en-BE" w:bidi="ar-SA"/>
        </w:rPr>
      </w:pPr>
    </w:p>
    <w:p w14:paraId="783530C2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 ПАО Сбербанк в лице филиала – Среднерусский банк ПАО Сбербанк к </w:t>
      </w:r>
      <w:r>
        <w:rPr>
          <w:rStyle w:val="cat-FIOgrp-6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</w:t>
      </w:r>
      <w:r>
        <w:rPr>
          <w:lang w:val="en-BE" w:eastAsia="en-BE" w:bidi="ar-SA"/>
        </w:rPr>
        <w:t>взыскании задолженности - удовлетворить частично.</w:t>
      </w:r>
    </w:p>
    <w:p w14:paraId="2B9C6994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пользу </w:t>
      </w:r>
      <w:r>
        <w:rPr>
          <w:rStyle w:val="cat-OrganizationNamegrp-20rplc-4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– Среднерусского банка ПАО Сбербанк с </w:t>
      </w:r>
      <w:r>
        <w:rPr>
          <w:rStyle w:val="cat-FIOgrp-10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оплаченную государственную пошлину в размере </w:t>
      </w:r>
      <w:r>
        <w:rPr>
          <w:rStyle w:val="cat-Sumgrp-17rplc-4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A8B2A35" w14:textId="77777777" w:rsidR="00000000" w:rsidRDefault="00EE3EE3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оставшейся части заявленных исковых т</w:t>
      </w:r>
      <w:r>
        <w:rPr>
          <w:lang w:val="en-BE" w:eastAsia="en-BE" w:bidi="ar-SA"/>
        </w:rPr>
        <w:t>ребований - отказать.</w:t>
      </w:r>
    </w:p>
    <w:p w14:paraId="37DF0C1F" w14:textId="77777777" w:rsidR="00000000" w:rsidRDefault="00EE3EE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в окончательной форме.</w:t>
      </w:r>
    </w:p>
    <w:p w14:paraId="02E0C513" w14:textId="77777777" w:rsidR="00000000" w:rsidRDefault="00EE3EE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изготовлено в окончательной форме </w:t>
      </w:r>
      <w:r>
        <w:rPr>
          <w:rStyle w:val="cat-Dategrp-5rplc-47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03F52C25" w14:textId="77777777" w:rsidR="00000000" w:rsidRDefault="00EE3EE3">
      <w:pPr>
        <w:ind w:firstLine="567"/>
        <w:jc w:val="both"/>
        <w:rPr>
          <w:lang w:val="en-BE" w:eastAsia="en-BE" w:bidi="ar-SA"/>
        </w:rPr>
      </w:pPr>
    </w:p>
    <w:p w14:paraId="6FAB2A6F" w14:textId="77777777" w:rsidR="00000000" w:rsidRDefault="00EE3EE3">
      <w:pPr>
        <w:ind w:firstLine="567"/>
        <w:jc w:val="both"/>
        <w:rPr>
          <w:lang w:val="en-BE" w:eastAsia="en-BE" w:bidi="ar-SA"/>
        </w:rPr>
      </w:pPr>
    </w:p>
    <w:p w14:paraId="1487CE7E" w14:textId="77777777" w:rsidR="00000000" w:rsidRDefault="00EE3EE3">
      <w:pPr>
        <w:ind w:firstLine="567"/>
        <w:rPr>
          <w:lang w:val="en-BE" w:eastAsia="en-BE" w:bidi="ar-SA"/>
        </w:rPr>
      </w:pPr>
      <w:r>
        <w:rPr>
          <w:rStyle w:val="cat-FIOgrp-11rplc-48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Шестаков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EE3"/>
    <w:rsid w:val="00E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95308B3"/>
  <w15:chartTrackingRefBased/>
  <w15:docId w15:val="{66E36631-2D75-4D83-A8F5-319F0A8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1rplc-1">
    <w:name w:val="cat-Date grp-1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4">
    <w:name w:val="cat-FIO grp-8 rplc-4"/>
    <w:basedOn w:val="a0"/>
  </w:style>
  <w:style w:type="character" w:customStyle="1" w:styleId="cat-FIOgrp-6rplc-5">
    <w:name w:val="cat-FIO grp-6 rplc-5"/>
    <w:basedOn w:val="a0"/>
  </w:style>
  <w:style w:type="character" w:customStyle="1" w:styleId="cat-FIOgrp-9rplc-6">
    <w:name w:val="cat-FIO grp-9 rplc-6"/>
    <w:basedOn w:val="a0"/>
  </w:style>
  <w:style w:type="character" w:customStyle="1" w:styleId="cat-Dategrp-2rplc-7">
    <w:name w:val="cat-Date grp-2 rplc-7"/>
    <w:basedOn w:val="a0"/>
  </w:style>
  <w:style w:type="character" w:customStyle="1" w:styleId="cat-UserDefinedgrp-21rplc-8">
    <w:name w:val="cat-UserDefined grp-2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Dategrp-3rplc-10">
    <w:name w:val="cat-Date grp-3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UserDefinedgrp-21rplc-15">
    <w:name w:val="cat-UserDefined grp-21 rplc-15"/>
    <w:basedOn w:val="a0"/>
  </w:style>
  <w:style w:type="character" w:customStyle="1" w:styleId="cat-Sumgrp-13rplc-16">
    <w:name w:val="cat-Sum grp-13 rplc-16"/>
    <w:basedOn w:val="a0"/>
  </w:style>
  <w:style w:type="character" w:customStyle="1" w:styleId="cat-Sumgrp-17rplc-17">
    <w:name w:val="cat-Sum grp-17 rplc-17"/>
    <w:basedOn w:val="a0"/>
  </w:style>
  <w:style w:type="character" w:customStyle="1" w:styleId="cat-OrganizationNamegrp-19rplc-18">
    <w:name w:val="cat-OrganizationName grp-19 rplc-18"/>
    <w:basedOn w:val="a0"/>
  </w:style>
  <w:style w:type="character" w:customStyle="1" w:styleId="cat-FIOgrp-9rplc-19">
    <w:name w:val="cat-FIO grp-9 rplc-19"/>
    <w:basedOn w:val="a0"/>
  </w:style>
  <w:style w:type="character" w:customStyle="1" w:styleId="cat-Dategrp-4rplc-20">
    <w:name w:val="cat-Date grp-4 rplc-20"/>
    <w:basedOn w:val="a0"/>
  </w:style>
  <w:style w:type="character" w:customStyle="1" w:styleId="cat-Dategrp-2rplc-21">
    <w:name w:val="cat-Date grp-2 rplc-21"/>
    <w:basedOn w:val="a0"/>
  </w:style>
  <w:style w:type="character" w:customStyle="1" w:styleId="cat-FIOgrp-9rplc-22">
    <w:name w:val="cat-FIO grp-9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FIOgrp-9rplc-24">
    <w:name w:val="cat-FIO grp-9 rplc-24"/>
    <w:basedOn w:val="a0"/>
  </w:style>
  <w:style w:type="character" w:customStyle="1" w:styleId="cat-UserDefinedgrp-21rplc-25">
    <w:name w:val="cat-UserDefined grp-21 rplc-25"/>
    <w:basedOn w:val="a0"/>
  </w:style>
  <w:style w:type="character" w:customStyle="1" w:styleId="cat-Sumgrp-12rplc-26">
    <w:name w:val="cat-Sum grp-12 rplc-26"/>
    <w:basedOn w:val="a0"/>
  </w:style>
  <w:style w:type="character" w:customStyle="1" w:styleId="cat-FIOgrp-9rplc-27">
    <w:name w:val="cat-FIO grp-9 rplc-27"/>
    <w:basedOn w:val="a0"/>
  </w:style>
  <w:style w:type="character" w:customStyle="1" w:styleId="cat-UserDefinedgrp-22rplc-28">
    <w:name w:val="cat-UserDefined grp-22 rplc-28"/>
    <w:basedOn w:val="a0"/>
  </w:style>
  <w:style w:type="character" w:customStyle="1" w:styleId="cat-Dategrp-3rplc-29">
    <w:name w:val="cat-Date grp-3 rplc-29"/>
    <w:basedOn w:val="a0"/>
  </w:style>
  <w:style w:type="character" w:customStyle="1" w:styleId="cat-FIOgrp-9rplc-30">
    <w:name w:val="cat-FIO grp-9 rplc-30"/>
    <w:basedOn w:val="a0"/>
  </w:style>
  <w:style w:type="character" w:customStyle="1" w:styleId="cat-Sumgrp-13rplc-31">
    <w:name w:val="cat-Sum grp-13 rplc-31"/>
    <w:basedOn w:val="a0"/>
  </w:style>
  <w:style w:type="character" w:customStyle="1" w:styleId="cat-Sumgrp-14rplc-32">
    <w:name w:val="cat-Sum grp-14 rplc-32"/>
    <w:basedOn w:val="a0"/>
  </w:style>
  <w:style w:type="character" w:customStyle="1" w:styleId="cat-Sumgrp-15rplc-33">
    <w:name w:val="cat-Sum grp-15 rplc-33"/>
    <w:basedOn w:val="a0"/>
  </w:style>
  <w:style w:type="character" w:customStyle="1" w:styleId="cat-Sumgrp-16rplc-34">
    <w:name w:val="cat-Sum grp-16 rplc-34"/>
    <w:basedOn w:val="a0"/>
  </w:style>
  <w:style w:type="character" w:customStyle="1" w:styleId="cat-FIOgrp-9rplc-35">
    <w:name w:val="cat-FIO grp-9 rplc-35"/>
    <w:basedOn w:val="a0"/>
  </w:style>
  <w:style w:type="character" w:customStyle="1" w:styleId="cat-FIOgrp-9rplc-36">
    <w:name w:val="cat-FIO grp-9 rplc-36"/>
    <w:basedOn w:val="a0"/>
  </w:style>
  <w:style w:type="character" w:customStyle="1" w:styleId="cat-UserDefinedgrp-21rplc-37">
    <w:name w:val="cat-UserDefined grp-2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Sumgrp-17rplc-39">
    <w:name w:val="cat-Sum grp-17 rplc-39"/>
    <w:basedOn w:val="a0"/>
  </w:style>
  <w:style w:type="character" w:customStyle="1" w:styleId="cat-FIOgrp-9rplc-40">
    <w:name w:val="cat-FIO grp-9 rplc-40"/>
    <w:basedOn w:val="a0"/>
  </w:style>
  <w:style w:type="character" w:customStyle="1" w:styleId="cat-Sumgrp-18rplc-41">
    <w:name w:val="cat-Sum grp-18 rplc-41"/>
    <w:basedOn w:val="a0"/>
  </w:style>
  <w:style w:type="character" w:customStyle="1" w:styleId="cat-FIOgrp-6rplc-42">
    <w:name w:val="cat-FIO grp-6 rplc-42"/>
    <w:basedOn w:val="a0"/>
  </w:style>
  <w:style w:type="character" w:customStyle="1" w:styleId="cat-OrganizationNamegrp-20rplc-43">
    <w:name w:val="cat-OrganizationName grp-20 rplc-43"/>
    <w:basedOn w:val="a0"/>
  </w:style>
  <w:style w:type="character" w:customStyle="1" w:styleId="cat-FIOgrp-10rplc-44">
    <w:name w:val="cat-FIO grp-10 rplc-44"/>
    <w:basedOn w:val="a0"/>
  </w:style>
  <w:style w:type="character" w:customStyle="1" w:styleId="cat-Sumgrp-17rplc-45">
    <w:name w:val="cat-Sum grp-17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Dategrp-5rplc-47">
    <w:name w:val="cat-Date grp-5 rplc-47"/>
    <w:basedOn w:val="a0"/>
  </w:style>
  <w:style w:type="character" w:customStyle="1" w:styleId="cat-FIOgrp-11rplc-48">
    <w:name w:val="cat-FIO grp-11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