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635C7C" w14:textId="77777777" w:rsidR="00BD41F3" w:rsidRDefault="00E62A4B">
      <w:pPr>
        <w:ind w:firstLine="567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Дело № 2-2135/2020</w:t>
      </w:r>
    </w:p>
    <w:p w14:paraId="3FDFD63E" w14:textId="77777777" w:rsidR="00BD41F3" w:rsidRDefault="00E62A4B">
      <w:pPr>
        <w:widowControl w:val="0"/>
        <w:tabs>
          <w:tab w:val="center" w:pos="4725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</w:p>
    <w:p w14:paraId="092AD029" w14:textId="77777777" w:rsidR="00BD41F3" w:rsidRDefault="00E62A4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З А О Ч Н О Е     Р Е Ш Е Н И Е</w:t>
      </w:r>
    </w:p>
    <w:p w14:paraId="4A805AE2" w14:textId="77777777" w:rsidR="00BD41F3" w:rsidRDefault="00E62A4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392B6D77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2132E25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Dategrp-2rplc-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</w:p>
    <w:p w14:paraId="44DE18F5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17704ED7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Зюзинский районный суд </w:t>
      </w:r>
      <w:r>
        <w:rPr>
          <w:rStyle w:val="cat-Addressgrp-0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9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при ведении протокола</w:t>
      </w:r>
      <w:r>
        <w:rPr>
          <w:sz w:val="28"/>
          <w:szCs w:val="28"/>
          <w:lang w:val="en-BE" w:eastAsia="en-BE" w:bidi="ar-SA"/>
        </w:rPr>
        <w:t xml:space="preserve"> помощником судьи </w:t>
      </w:r>
      <w:r>
        <w:rPr>
          <w:rStyle w:val="cat-FIOgrp-10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2-2135/2020 по исковому заявлению </w:t>
      </w:r>
      <w:r>
        <w:rPr>
          <w:rStyle w:val="cat-OrganizationNamegrp-22rplc-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к </w:t>
      </w:r>
      <w:r>
        <w:rPr>
          <w:rStyle w:val="cat-FIOgrp-8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контракту,</w:t>
      </w:r>
    </w:p>
    <w:p w14:paraId="4A8D4DCB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9EE4DB9" w14:textId="77777777" w:rsidR="00BD41F3" w:rsidRDefault="00E62A4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У С Т А </w:t>
      </w:r>
      <w:r>
        <w:rPr>
          <w:b/>
          <w:bCs/>
          <w:sz w:val="28"/>
          <w:szCs w:val="28"/>
          <w:lang w:val="en-BE" w:eastAsia="en-BE" w:bidi="ar-SA"/>
        </w:rPr>
        <w:t>Н О В И Л:</w:t>
      </w:r>
    </w:p>
    <w:p w14:paraId="3628780B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991FC90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rStyle w:val="cat-OrganizationNamegrp-23rplc-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обратился в суд с иском к </w:t>
      </w:r>
      <w:r>
        <w:rPr>
          <w:rStyle w:val="cat-FIOgrp-11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контракту, просит взыскать с ответчика сумму задолженности по состоянию на </w:t>
      </w:r>
      <w:r>
        <w:rPr>
          <w:rStyle w:val="cat-Dategrp-3rplc-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размере </w:t>
      </w:r>
      <w:r>
        <w:rPr>
          <w:rStyle w:val="cat-Sumgrp-13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из к</w:t>
      </w:r>
      <w:r>
        <w:rPr>
          <w:sz w:val="28"/>
          <w:szCs w:val="28"/>
          <w:lang w:val="en-BE" w:eastAsia="en-BE" w:bidi="ar-SA"/>
        </w:rPr>
        <w:t xml:space="preserve">оторых просроченный основной долг </w:t>
      </w:r>
      <w:r>
        <w:rPr>
          <w:rStyle w:val="cat-Sumgrp-14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</w:t>
      </w:r>
      <w:r>
        <w:rPr>
          <w:rStyle w:val="cat-Sumgrp-15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</w:t>
      </w:r>
      <w:r>
        <w:rPr>
          <w:rStyle w:val="cat-Sumgrp-16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7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 В обоснование заявленных требований истец указал, что </w:t>
      </w:r>
      <w:r>
        <w:rPr>
          <w:rStyle w:val="cat-Dategrp-4rplc-1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24rplc-1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</w:t>
      </w:r>
      <w:r>
        <w:rPr>
          <w:rStyle w:val="cat-FIOgrp-11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До</w:t>
      </w:r>
      <w:r>
        <w:rPr>
          <w:sz w:val="28"/>
          <w:szCs w:val="28"/>
          <w:lang w:val="en-BE" w:eastAsia="en-BE" w:bidi="ar-SA"/>
        </w:rPr>
        <w:t>говор (эмиссионный контракт N 0910-Р-10539537180) на предоставление последнему возобновляемой кредитной линии посредством выдачи ему кредитной карты Сбербанка с предоставлением по ней кредитом и обслуживанием счета по данной карте в российских рублях. Во и</w:t>
      </w:r>
      <w:r>
        <w:rPr>
          <w:sz w:val="28"/>
          <w:szCs w:val="28"/>
          <w:lang w:val="en-BE" w:eastAsia="en-BE" w:bidi="ar-SA"/>
        </w:rPr>
        <w:t xml:space="preserve">сполнение заключенного договора Держателю была выдана кредитная карта с лимитом кредита </w:t>
      </w:r>
      <w:r>
        <w:rPr>
          <w:rStyle w:val="cat-Sumgrp-18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условиям и в Тарифах Сбербанка. Также держател</w:t>
      </w:r>
      <w:r>
        <w:rPr>
          <w:sz w:val="28"/>
          <w:szCs w:val="28"/>
          <w:lang w:val="en-BE" w:eastAsia="en-BE" w:bidi="ar-SA"/>
        </w:rPr>
        <w:t>ю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п. п. 2, 3.36, 4.1 и 4.5 Условий, операции, совершенные по карте, оплачиваются за счет кредита, пре</w:t>
      </w:r>
      <w:r>
        <w:rPr>
          <w:sz w:val="28"/>
          <w:szCs w:val="28"/>
          <w:lang w:val="en-BE" w:eastAsia="en-BE" w:bidi="ar-SA"/>
        </w:rPr>
        <w:t>доставляемого Сбербанком России Держателю на условиях "до востребования", с одновременным уменьшением доступного лимита кредита. Кредит по карте предоставляется держателю в размере кредитного лимита под 21,9 % годовых на условиях, определенных тарифами Сбе</w:t>
      </w:r>
      <w:r>
        <w:rPr>
          <w:sz w:val="28"/>
          <w:szCs w:val="28"/>
          <w:lang w:val="en-BE" w:eastAsia="en-BE" w:bidi="ar-SA"/>
        </w:rPr>
        <w:t xml:space="preserve">рбанка. При этом Сбербанк России обязуется ежемесячно формировать и предоставлять держателю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</w:t>
      </w:r>
      <w:r>
        <w:rPr>
          <w:sz w:val="28"/>
          <w:szCs w:val="28"/>
          <w:lang w:val="en-BE" w:eastAsia="en-BE" w:bidi="ar-SA"/>
        </w:rPr>
        <w:t xml:space="preserve">условиям, уплата кредита и процентов за его использование осуществляется ежемесячно по частям или </w:t>
      </w:r>
      <w:r>
        <w:rPr>
          <w:sz w:val="28"/>
          <w:szCs w:val="28"/>
          <w:lang w:val="en-BE" w:eastAsia="en-BE" w:bidi="ar-SA"/>
        </w:rPr>
        <w:lastRenderedPageBreak/>
        <w:t>полностью в соответствии с информацией, указанной в отчете, путем пополнения счета карты не позднее. Согласно п. 12 Условий предусмотрено, что за несвоевремен</w:t>
      </w:r>
      <w:r>
        <w:rPr>
          <w:sz w:val="28"/>
          <w:szCs w:val="28"/>
          <w:lang w:val="en-BE" w:eastAsia="en-BE" w:bidi="ar-SA"/>
        </w:rPr>
        <w:t>ную уплату обязательных платежей взимается неустойка в соответствии с Тарифами Сбербанка. Платежи в счет уплаты задолженности по кредиту держателем производились нарушениями в части сроков и сумм, обязательных к уплате. Просроченная задолженность ответчико</w:t>
      </w:r>
      <w:r>
        <w:rPr>
          <w:sz w:val="28"/>
          <w:szCs w:val="28"/>
          <w:lang w:val="en-BE" w:eastAsia="en-BE" w:bidi="ar-SA"/>
        </w:rPr>
        <w:t xml:space="preserve">м до настоящего времени не уплачена. В связи с вышеизложенным, за Ответчиком по состоянию на </w:t>
      </w:r>
      <w:r>
        <w:rPr>
          <w:rStyle w:val="cat-Dategrp-5rplc-1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образовалась просроченная задолженность в размере </w:t>
      </w:r>
      <w:r>
        <w:rPr>
          <w:rStyle w:val="cat-Sumgrp-13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 </w:t>
      </w:r>
      <w:r>
        <w:rPr>
          <w:rStyle w:val="cat-Dategrp-6rplc-2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заемщику было направлено письмо с требованием о возврате банку суммы задолженности. Данное требо</w:t>
      </w:r>
      <w:r>
        <w:rPr>
          <w:sz w:val="28"/>
          <w:szCs w:val="28"/>
          <w:lang w:val="en-BE" w:eastAsia="en-BE" w:bidi="ar-SA"/>
        </w:rPr>
        <w:t>вание до настоящего момента не выполнено.</w:t>
      </w:r>
    </w:p>
    <w:p w14:paraId="0092ED7E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о дате, времени и месте судебного заседания извещен надлежащим образом, согласно искового заявления просил рассмотреть дело в отсутствие представителя истца.</w:t>
      </w:r>
    </w:p>
    <w:p w14:paraId="1FADB1B3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</w:t>
      </w:r>
      <w:r>
        <w:rPr>
          <w:sz w:val="28"/>
          <w:szCs w:val="28"/>
          <w:lang w:val="en-BE" w:eastAsia="en-BE" w:bidi="ar-SA"/>
        </w:rPr>
        <w:t xml:space="preserve">тчик </w:t>
      </w:r>
      <w:r>
        <w:rPr>
          <w:rStyle w:val="cat-FIOgrp-11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о дате, времени и месте судебного заседания извещался судом надлежащим образом, возражений по заявленным требованиям и документов, подтверждающих уважительность причины неявки в судебное заседание, в адрес суда не п</w:t>
      </w:r>
      <w:r>
        <w:rPr>
          <w:sz w:val="28"/>
          <w:szCs w:val="28"/>
          <w:lang w:val="en-BE" w:eastAsia="en-BE" w:bidi="ar-SA"/>
        </w:rPr>
        <w:t>оступало.</w:t>
      </w:r>
    </w:p>
    <w:p w14:paraId="6586D8F9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считает извещение ответчика надлежащим. </w:t>
      </w:r>
    </w:p>
    <w:p w14:paraId="013EAF9A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об уважительных причинах неявки суду не сообщил, о рассмотрении дела в свое отсутствие не просил, суд с учетом мнения истца считает возможным рассмотреть дело в порядке статьи 233 Гр</w:t>
      </w:r>
      <w:r>
        <w:rPr>
          <w:sz w:val="28"/>
          <w:szCs w:val="28"/>
          <w:lang w:val="en-BE" w:eastAsia="en-BE" w:bidi="ar-SA"/>
        </w:rPr>
        <w:t>ажданского процессуального кодекса Российской Федерации.</w:t>
      </w:r>
    </w:p>
    <w:p w14:paraId="5CE3485D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письменные материалы дела, оценив доказательства в их совокупности, находит исковые требования подлежащими удовлетворению по следующим основаниям.</w:t>
      </w:r>
    </w:p>
    <w:p w14:paraId="165BF214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ст. 819, 820 Г</w:t>
      </w:r>
      <w:r>
        <w:rPr>
          <w:sz w:val="28"/>
          <w:szCs w:val="28"/>
          <w:lang w:val="en-BE" w:eastAsia="en-BE" w:bidi="ar-SA"/>
        </w:rPr>
        <w:t>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>
        <w:rPr>
          <w:sz w:val="28"/>
          <w:szCs w:val="28"/>
          <w:lang w:val="en-BE" w:eastAsia="en-BE" w:bidi="ar-SA"/>
        </w:rPr>
        <w:t>оценты на нее. Кредитный договор должен быть заключен в письменной форме. К отношениям по кредитному договору применяются правила, регулирующие отношения по договору займа, если иное не предусмотрено правилами параграфа 2 главы 42 ГК РФ и не вытекает из су</w:t>
      </w:r>
      <w:r>
        <w:rPr>
          <w:sz w:val="28"/>
          <w:szCs w:val="28"/>
          <w:lang w:val="en-BE" w:eastAsia="en-BE" w:bidi="ar-SA"/>
        </w:rPr>
        <w:t>щества кредитного договора.</w:t>
      </w:r>
    </w:p>
    <w:p w14:paraId="6062A37C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ст. 807 - 810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</w:t>
      </w:r>
      <w:r>
        <w:rPr>
          <w:sz w:val="28"/>
          <w:szCs w:val="28"/>
          <w:lang w:val="en-BE" w:eastAsia="en-BE" w:bidi="ar-SA"/>
        </w:rPr>
        <w:t>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 Если иное не предусмотрено законом или договором займа, займодавец и</w:t>
      </w:r>
      <w:r>
        <w:rPr>
          <w:sz w:val="28"/>
          <w:szCs w:val="28"/>
          <w:lang w:val="en-BE" w:eastAsia="en-BE" w:bidi="ar-SA"/>
        </w:rPr>
        <w:t xml:space="preserve">меет право на получение с заемщика процентов на сумму займа в размерах и в </w:t>
      </w:r>
      <w:r>
        <w:rPr>
          <w:sz w:val="28"/>
          <w:szCs w:val="28"/>
          <w:lang w:val="en-BE" w:eastAsia="en-BE" w:bidi="ar-SA"/>
        </w:rPr>
        <w:lastRenderedPageBreak/>
        <w:t>порядке, определенных договором. При отсутствии иного соглашения проценты выплачиваются ежемесячно до дня возврата суммы займа. Заемщик обязан возвратить займодавцу полученную сумму</w:t>
      </w:r>
      <w:r>
        <w:rPr>
          <w:sz w:val="28"/>
          <w:szCs w:val="28"/>
          <w:lang w:val="en-BE" w:eastAsia="en-BE" w:bidi="ar-SA"/>
        </w:rPr>
        <w:t xml:space="preserve"> займа в срок и в порядке, которые предусмотрены договором займа. Если иное не предусмотрено договором займа,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4326AB0E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</w:t>
      </w:r>
      <w:r>
        <w:rPr>
          <w:sz w:val="28"/>
          <w:szCs w:val="28"/>
          <w:lang w:val="en-BE" w:eastAsia="en-BE" w:bidi="ar-SA"/>
        </w:rPr>
        <w:t>вании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 1 ст. 395 ГК РФ, со дня, когда она должна была быть в</w:t>
      </w:r>
      <w:r>
        <w:rPr>
          <w:sz w:val="28"/>
          <w:szCs w:val="28"/>
          <w:lang w:val="en-BE" w:eastAsia="en-BE" w:bidi="ar-SA"/>
        </w:rPr>
        <w:t>озвращена, до дня ее возврата займодавцу независимо от уплаты процентов, предусмотренных п. 1 ст. 809 ГК РФ. Если договором займа предусмотрено возвращение займа по частям (в рассрочку), то при нарушении заемщиком срока, установленного для возврата очередн</w:t>
      </w:r>
      <w:r>
        <w:rPr>
          <w:sz w:val="28"/>
          <w:szCs w:val="28"/>
          <w:lang w:val="en-BE" w:eastAsia="en-BE" w:bidi="ar-SA"/>
        </w:rPr>
        <w:t>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D7D1E37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ст. 309, 310 ГК РФ обязательства должны исполняться надлежащим образом в соответствии с условиями обязательства и т</w:t>
      </w:r>
      <w:r>
        <w:rPr>
          <w:sz w:val="28"/>
          <w:szCs w:val="28"/>
          <w:lang w:val="en-BE" w:eastAsia="en-BE" w:bidi="ar-SA"/>
        </w:rPr>
        <w:t>ребованиями закона, односторонний отказ от исполнения обязательства не допускается.</w:t>
      </w:r>
    </w:p>
    <w:p w14:paraId="03FCED90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материалов дела и установлено в судебном заседании, на основании заявления от </w:t>
      </w:r>
      <w:r>
        <w:rPr>
          <w:rStyle w:val="cat-Dategrp-4rplc-2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получение кредитной карты Сбербанка России, </w:t>
      </w:r>
      <w:r>
        <w:rPr>
          <w:rStyle w:val="cat-OrganizationNamegrp-24rplc-24"/>
          <w:sz w:val="28"/>
          <w:szCs w:val="28"/>
          <w:lang w:val="en-BE" w:eastAsia="en-BE" w:bidi="ar-SA"/>
        </w:rPr>
        <w:t>наименование организа</w:t>
      </w:r>
      <w:r>
        <w:rPr>
          <w:rStyle w:val="cat-OrganizationNamegrp-24rplc-24"/>
          <w:sz w:val="28"/>
          <w:szCs w:val="28"/>
          <w:lang w:val="en-BE" w:eastAsia="en-BE" w:bidi="ar-SA"/>
        </w:rPr>
        <w:t>ции</w:t>
      </w:r>
      <w:r>
        <w:rPr>
          <w:sz w:val="28"/>
          <w:szCs w:val="28"/>
          <w:lang w:val="en-BE" w:eastAsia="en-BE" w:bidi="ar-SA"/>
        </w:rPr>
        <w:t xml:space="preserve"> предоставил </w:t>
      </w:r>
      <w:r>
        <w:rPr>
          <w:rStyle w:val="cat-FIOgrp-11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пользование кредитную карту MasterCard World Black Edition для расчетов в рублях, с лимитом кредита в размере </w:t>
      </w:r>
      <w:r>
        <w:rPr>
          <w:rStyle w:val="cat-Sumgrp-18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19326F07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Для отображения операций по указанной карте по представленному ответчику кредиту был открыт счет кредитной карты держ</w:t>
      </w:r>
      <w:r>
        <w:rPr>
          <w:sz w:val="28"/>
          <w:szCs w:val="28"/>
          <w:lang w:val="en-BE" w:eastAsia="en-BE" w:bidi="ar-SA"/>
        </w:rPr>
        <w:t>ателя карты N 40817810700031999563.</w:t>
      </w:r>
    </w:p>
    <w:p w14:paraId="3EDA1E7C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с "Условиями выпуска и обслуживания кредитной карты Сбербанка России" (далее - Условия), Тарифами Сбербанка России, а также правилами обслуживания счета карты был ознакомлен и обязался их выполнять, о чем имеетс</w:t>
      </w:r>
      <w:r>
        <w:rPr>
          <w:sz w:val="28"/>
          <w:szCs w:val="28"/>
          <w:lang w:val="en-BE" w:eastAsia="en-BE" w:bidi="ar-SA"/>
        </w:rPr>
        <w:t>я подпись Держателя на заявлении на получение кредитной карты.</w:t>
      </w:r>
    </w:p>
    <w:p w14:paraId="50D044B3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п. 2, 3.36, 4.1 и 4.5 Условий, операции, совершенные по карте, оплачиваются за счет кредита, предоставляемого Сбербанком России Держателю на условиях "до востребования", с о</w:t>
      </w:r>
      <w:r>
        <w:rPr>
          <w:sz w:val="28"/>
          <w:szCs w:val="28"/>
          <w:lang w:val="en-BE" w:eastAsia="en-BE" w:bidi="ar-SA"/>
        </w:rPr>
        <w:t>дновременным уменьшением доступного лимита кредита. Кредит по карте предоставляется держателю в размере кредитного лимита под 21,9 % годовых на условиях, определенных тарифами Сбербанка. При этом Сбербанк России обязуется ежемесячно формировать и предостав</w:t>
      </w:r>
      <w:r>
        <w:rPr>
          <w:sz w:val="28"/>
          <w:szCs w:val="28"/>
          <w:lang w:val="en-BE" w:eastAsia="en-BE" w:bidi="ar-SA"/>
        </w:rPr>
        <w:t xml:space="preserve">лять держателю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условиям, уплата кредита и процентов за его использование осуществляется </w:t>
      </w:r>
      <w:r>
        <w:rPr>
          <w:sz w:val="28"/>
          <w:szCs w:val="28"/>
          <w:lang w:val="en-BE" w:eastAsia="en-BE" w:bidi="ar-SA"/>
        </w:rPr>
        <w:lastRenderedPageBreak/>
        <w:t>ежем</w:t>
      </w:r>
      <w:r>
        <w:rPr>
          <w:sz w:val="28"/>
          <w:szCs w:val="28"/>
          <w:lang w:val="en-BE" w:eastAsia="en-BE" w:bidi="ar-SA"/>
        </w:rPr>
        <w:t xml:space="preserve">есячно по частям или полностью в соответствии с информацией, указанной в отчете, путем пополнения счета карты. </w:t>
      </w:r>
    </w:p>
    <w:p w14:paraId="60E87612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12 Условий предусмотрено, что за несвоевременную уплату обязательных платежей взимается неустойка в соответствии с Тарифами Сбербанк</w:t>
      </w:r>
      <w:r>
        <w:rPr>
          <w:sz w:val="28"/>
          <w:szCs w:val="28"/>
          <w:lang w:val="en-BE" w:eastAsia="en-BE" w:bidi="ar-SA"/>
        </w:rPr>
        <w:t>а.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</w:t>
      </w:r>
      <w:r>
        <w:rPr>
          <w:sz w:val="28"/>
          <w:szCs w:val="28"/>
          <w:lang w:val="en-BE" w:eastAsia="en-BE" w:bidi="ar-SA"/>
        </w:rPr>
        <w:t>ательного платежа до полной оплаты Держателем всей суммы неустойки, рассчитанной по дату оплаты суммы просроченного основного долга в полном объеме (п. 3.9 Условий).</w:t>
      </w:r>
    </w:p>
    <w:p w14:paraId="510671B8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4.1.4 Условий, Держатель карты обязан досрочно погасить по требованию Банка сумм</w:t>
      </w:r>
      <w:r>
        <w:rPr>
          <w:sz w:val="28"/>
          <w:szCs w:val="28"/>
          <w:lang w:val="en-BE" w:eastAsia="en-BE" w:bidi="ar-SA"/>
        </w:rPr>
        <w:t>у общей задолженности в случае неисполнения или ненадлежащего исполнения Условий.</w:t>
      </w:r>
    </w:p>
    <w:p w14:paraId="7F45903C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пункту 1.5 "Положения об эмиссии банковских карт и об операциях, совершаемых с использованием платежных карт", утвержденных ЦБ РФ </w:t>
      </w:r>
      <w:r>
        <w:rPr>
          <w:rStyle w:val="cat-Dategrp-7rplc-2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N 266-П, кредитная организация</w:t>
      </w:r>
      <w:r>
        <w:rPr>
          <w:sz w:val="28"/>
          <w:szCs w:val="28"/>
          <w:lang w:val="en-BE" w:eastAsia="en-BE" w:bidi="ar-SA"/>
        </w:rPr>
        <w:t xml:space="preserve">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организацией-эмитентом суммы денежных средств (расходного лимита), расчет</w:t>
      </w:r>
      <w:r>
        <w:rPr>
          <w:sz w:val="28"/>
          <w:szCs w:val="28"/>
          <w:lang w:val="en-BE" w:eastAsia="en-BE" w:bidi="ar-SA"/>
        </w:rPr>
        <w:t>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 с договором банковского счета при недостаточности или отсутствии на б</w:t>
      </w:r>
      <w:r>
        <w:rPr>
          <w:sz w:val="28"/>
          <w:szCs w:val="28"/>
          <w:lang w:val="en-BE" w:eastAsia="en-BE" w:bidi="ar-SA"/>
        </w:rPr>
        <w:t>анковском счете денежных средств (овердрафт).</w:t>
      </w:r>
    </w:p>
    <w:p w14:paraId="2ABB3952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846 ГК РФ при заключении договора банковского счета клиенту или указанному им лицу открывается счет в банке на условиях, согласованных сторонами.</w:t>
      </w:r>
    </w:p>
    <w:p w14:paraId="6B92CB70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845 ГК РФ по договор</w:t>
      </w:r>
      <w:r>
        <w:rPr>
          <w:sz w:val="28"/>
          <w:szCs w:val="28"/>
          <w:lang w:val="en-BE" w:eastAsia="en-BE" w:bidi="ar-SA"/>
        </w:rPr>
        <w:t>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799380EB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850 ГК РФ в случаях, когда в соответствии с договором банковского счета банк осуществляет платежи со счета, не смотря на отсутствие денежных средств (кредитование счета), банк считается предоставившим клиенту кредит на соответствующую сум</w:t>
      </w:r>
      <w:r>
        <w:rPr>
          <w:sz w:val="28"/>
          <w:szCs w:val="28"/>
          <w:lang w:val="en-BE" w:eastAsia="en-BE" w:bidi="ar-SA"/>
        </w:rPr>
        <w:t>му со дня осуществления такого платежа. Права и обязанности сторон, связанные с кредитованием счета, определяются правилами о займе и кредите (глава 42), если договором банковского счета не предусмотрено иное.</w:t>
      </w:r>
    </w:p>
    <w:p w14:paraId="2AC5B3AE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Свои обязательства по договору истец полностью</w:t>
      </w:r>
      <w:r>
        <w:rPr>
          <w:sz w:val="28"/>
          <w:szCs w:val="28"/>
          <w:lang w:val="en-BE" w:eastAsia="en-BE" w:bidi="ar-SA"/>
        </w:rPr>
        <w:t xml:space="preserve"> выполнил, предоставил предусмотренные договором денежные средства ответчику, что подтверждается представленным суду расчетом и отчетами по кредитной карте.</w:t>
      </w:r>
    </w:p>
    <w:p w14:paraId="7D8ADADF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Факт неисполнения ответчиком условий договора, подтверждается направленным на его адрес требованием</w:t>
      </w:r>
      <w:r>
        <w:rPr>
          <w:sz w:val="28"/>
          <w:szCs w:val="28"/>
          <w:lang w:val="en-BE" w:eastAsia="en-BE" w:bidi="ar-SA"/>
        </w:rPr>
        <w:t xml:space="preserve"> о досрочном погашении задолженности, в связи с нарушением им условий договора.</w:t>
      </w:r>
    </w:p>
    <w:p w14:paraId="52FB93D9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надлежащим образом не исполняет обязательства по договору, то по банковской карте Gold MasterCard по счету кредитной карты образовалась просроченная задолжен</w:t>
      </w:r>
      <w:r>
        <w:rPr>
          <w:sz w:val="28"/>
          <w:szCs w:val="28"/>
          <w:lang w:val="en-BE" w:eastAsia="en-BE" w:bidi="ar-SA"/>
        </w:rPr>
        <w:t>ность.</w:t>
      </w:r>
    </w:p>
    <w:p w14:paraId="1863C8F8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</w:t>
      </w:r>
      <w:r>
        <w:rPr>
          <w:rStyle w:val="cat-Dategrp-5rplc-2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сумма задолженности по карте составляет </w:t>
      </w:r>
      <w:r>
        <w:rPr>
          <w:rStyle w:val="cat-Sumgrp-13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</w:t>
      </w:r>
      <w:r>
        <w:rPr>
          <w:rStyle w:val="cat-Sumgrp-14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</w:t>
      </w:r>
      <w:r>
        <w:rPr>
          <w:rStyle w:val="cat-Sumgrp-15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</w:t>
      </w:r>
      <w:r>
        <w:rPr>
          <w:rStyle w:val="cat-Sumgrp-16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4721A377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56 ГПК РФ, каждая сторона должна доказать те обстоятельства, на кото</w:t>
      </w:r>
      <w:r>
        <w:rPr>
          <w:sz w:val="28"/>
          <w:szCs w:val="28"/>
          <w:lang w:val="en-BE" w:eastAsia="en-BE" w:bidi="ar-SA"/>
        </w:rPr>
        <w:t>рые она ссылается как на основания своих требований и возражений, если иное не предусмотрено федеральным законом.</w:t>
      </w:r>
    </w:p>
    <w:p w14:paraId="7088F01B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оценивая собранные по делу доказательства в их совокупности, учитывая конкретные обстоятельства дела, а также тот факт, что отв</w:t>
      </w:r>
      <w:r>
        <w:rPr>
          <w:sz w:val="28"/>
          <w:szCs w:val="28"/>
          <w:lang w:val="en-BE" w:eastAsia="en-BE" w:bidi="ar-SA"/>
        </w:rPr>
        <w:t>етчик в судебное заседание не явился и каких-либо возражений по существу заявленных исковых требований не представил, суд приходит к выводу о том, что требования истца подлежат удовлетворению в полном объеме, поскольку в соответствии с действующим законода</w:t>
      </w:r>
      <w:r>
        <w:rPr>
          <w:sz w:val="28"/>
          <w:szCs w:val="28"/>
          <w:lang w:val="en-BE" w:eastAsia="en-BE" w:bidi="ar-SA"/>
        </w:rPr>
        <w:t>тельством обязательства должны исполняться надлежащим образом в соответствии с условиями договора и требованиями закона.</w:t>
      </w:r>
    </w:p>
    <w:p w14:paraId="507040E1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определении размера задолженности, подлежащей взысканию с ответчика в пользу истца, суд полностью соглашается с расчетом задолженно</w:t>
      </w:r>
      <w:r>
        <w:rPr>
          <w:sz w:val="28"/>
          <w:szCs w:val="28"/>
          <w:lang w:val="en-BE" w:eastAsia="en-BE" w:bidi="ar-SA"/>
        </w:rPr>
        <w:t>сти, представленным истцом, поскольку он произведен в соответствии с условиями договора и требованиями закона.</w:t>
      </w:r>
    </w:p>
    <w:p w14:paraId="7D75E85A" w14:textId="77777777" w:rsidR="00BD41F3" w:rsidRDefault="00E62A4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Оснований для снижения размера неустойки, в соответствии со ст. 333 ГК РФ судом не усматриваются.</w:t>
      </w:r>
    </w:p>
    <w:p w14:paraId="2F5FC520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вынесении решения судом также учитывается, </w:t>
      </w:r>
      <w:r>
        <w:rPr>
          <w:sz w:val="28"/>
          <w:szCs w:val="28"/>
          <w:lang w:val="en-BE" w:eastAsia="en-BE" w:bidi="ar-SA"/>
        </w:rPr>
        <w:t xml:space="preserve">что истцом при подаче искового заявления были понесены расходы по оплате госпошлины в размере </w:t>
      </w:r>
      <w:r>
        <w:rPr>
          <w:rStyle w:val="cat-Sumgrp-19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которые согласно ст. 98 ГПК РФ, подлежат возмещению за счет ответчика в полном объеме.</w:t>
      </w:r>
    </w:p>
    <w:p w14:paraId="081A1CFE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194-198, 199, 233-2</w:t>
      </w:r>
      <w:r>
        <w:rPr>
          <w:sz w:val="28"/>
          <w:szCs w:val="28"/>
          <w:lang w:val="en-BE" w:eastAsia="en-BE" w:bidi="ar-SA"/>
        </w:rPr>
        <w:t xml:space="preserve">35 Гражданского процессуального кодекса Российской Федерации, суд </w:t>
      </w:r>
    </w:p>
    <w:p w14:paraId="6CD6F0DF" w14:textId="77777777" w:rsidR="00BD41F3" w:rsidRDefault="00E62A4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0CE3887C" w14:textId="77777777" w:rsidR="00BD41F3" w:rsidRDefault="00E62A4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0FF7BF10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E697D44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</w:t>
      </w:r>
      <w:r>
        <w:rPr>
          <w:rStyle w:val="cat-OrganizationNamegrp-22rplc-34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к </w:t>
      </w:r>
      <w:r>
        <w:rPr>
          <w:rStyle w:val="cat-FIOgrp-8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 - удовлетворить.</w:t>
      </w:r>
    </w:p>
    <w:p w14:paraId="1FF752E0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E33258D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2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2rplc-3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сумму задолженности в размере </w:t>
      </w:r>
      <w:r>
        <w:rPr>
          <w:rStyle w:val="cat-Sumgrp-13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</w:t>
      </w:r>
      <w:r>
        <w:rPr>
          <w:sz w:val="28"/>
          <w:szCs w:val="28"/>
          <w:lang w:val="en-BE" w:eastAsia="en-BE" w:bidi="ar-SA"/>
        </w:rPr>
        <w:lastRenderedPageBreak/>
        <w:t xml:space="preserve">также расходы по оплате государственной пошлины в размере </w:t>
      </w:r>
      <w:r>
        <w:rPr>
          <w:rStyle w:val="cat-Sumgrp-20rplc-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всего взыскать </w:t>
      </w:r>
      <w:r>
        <w:rPr>
          <w:rStyle w:val="cat-Sumgrp-21rplc-4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3B348BAF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9DF7CFB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вправе подать в Зюзинский районный су</w:t>
      </w:r>
      <w:r>
        <w:rPr>
          <w:sz w:val="28"/>
          <w:szCs w:val="28"/>
          <w:lang w:val="en-BE" w:eastAsia="en-BE" w:bidi="ar-SA"/>
        </w:rPr>
        <w:t xml:space="preserve">д </w:t>
      </w:r>
      <w:r>
        <w:rPr>
          <w:rStyle w:val="cat-Addressgrp-1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заявление об отмене решения суда в течение семи дней со дня вручения ему копии этого решения.</w:t>
      </w:r>
    </w:p>
    <w:p w14:paraId="3DCAA32B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1E2775F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</w:t>
      </w:r>
      <w:r>
        <w:rPr>
          <w:sz w:val="28"/>
          <w:szCs w:val="28"/>
          <w:lang w:val="en-BE" w:eastAsia="en-BE" w:bidi="ar-SA"/>
        </w:rPr>
        <w:t>етворении заявления об отмене этого решения суда.</w:t>
      </w:r>
    </w:p>
    <w:p w14:paraId="080A4DAF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E52E1B5" w14:textId="77777777" w:rsidR="00BD41F3" w:rsidRDefault="00E62A4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</w:t>
      </w:r>
      <w:r>
        <w:rPr>
          <w:sz w:val="28"/>
          <w:szCs w:val="28"/>
          <w:lang w:val="en-BE" w:eastAsia="en-BE" w:bidi="ar-SA"/>
        </w:rPr>
        <w:t xml:space="preserve">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</w:t>
      </w:r>
      <w:r>
        <w:rPr>
          <w:sz w:val="28"/>
          <w:szCs w:val="28"/>
          <w:lang w:val="en-BE" w:eastAsia="en-BE" w:bidi="ar-SA"/>
        </w:rPr>
        <w:t>заявления.</w:t>
      </w:r>
    </w:p>
    <w:p w14:paraId="1CA999E6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181C86C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AF2B618" w14:textId="77777777" w:rsidR="00BD41F3" w:rsidRDefault="00E62A4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</w:t>
      </w:r>
      <w:r>
        <w:rPr>
          <w:rStyle w:val="cat-FIOgrp-9rplc-42"/>
          <w:sz w:val="28"/>
          <w:szCs w:val="28"/>
          <w:lang w:val="en-BE" w:eastAsia="en-BE" w:bidi="ar-SA"/>
        </w:rPr>
        <w:t>фио</w:t>
      </w:r>
    </w:p>
    <w:sectPr w:rsidR="00BD41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309"/>
    <w:rsid w:val="00E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3B75277"/>
  <w15:chartTrackingRefBased/>
  <w15:docId w15:val="{11C879B3-9E17-4408-9B08-EF8CFCB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9rplc-3">
    <w:name w:val="cat-FIO grp-9 rplc-3"/>
    <w:basedOn w:val="a0"/>
  </w:style>
  <w:style w:type="character" w:customStyle="1" w:styleId="cat-FIOgrp-10rplc-4">
    <w:name w:val="cat-FIO grp-10 rplc-4"/>
    <w:basedOn w:val="a0"/>
  </w:style>
  <w:style w:type="character" w:customStyle="1" w:styleId="cat-OrganizationNamegrp-22rplc-5">
    <w:name w:val="cat-OrganizationName grp-22 rplc-5"/>
    <w:basedOn w:val="a0"/>
  </w:style>
  <w:style w:type="character" w:customStyle="1" w:styleId="cat-FIOgrp-8rplc-6">
    <w:name w:val="cat-FIO grp-8 rplc-6"/>
    <w:basedOn w:val="a0"/>
  </w:style>
  <w:style w:type="character" w:customStyle="1" w:styleId="cat-OrganizationNamegrp-23rplc-7">
    <w:name w:val="cat-OrganizationName grp-23 rplc-7"/>
    <w:basedOn w:val="a0"/>
  </w:style>
  <w:style w:type="character" w:customStyle="1" w:styleId="cat-FIOgrp-11rplc-8">
    <w:name w:val="cat-FIO grp-11 rplc-8"/>
    <w:basedOn w:val="a0"/>
  </w:style>
  <w:style w:type="character" w:customStyle="1" w:styleId="cat-Dategrp-3rplc-9">
    <w:name w:val="cat-Date grp-3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Sumgrp-14rplc-11">
    <w:name w:val="cat-Sum grp-14 rplc-11"/>
    <w:basedOn w:val="a0"/>
  </w:style>
  <w:style w:type="character" w:customStyle="1" w:styleId="cat-Sumgrp-15rplc-12">
    <w:name w:val="cat-Sum grp-15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Dategrp-4rplc-15">
    <w:name w:val="cat-Date grp-4 rplc-15"/>
    <w:basedOn w:val="a0"/>
  </w:style>
  <w:style w:type="character" w:customStyle="1" w:styleId="cat-OrganizationNamegrp-24rplc-16">
    <w:name w:val="cat-OrganizationName grp-24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Sumgrp-18rplc-18">
    <w:name w:val="cat-Sum grp-18 rplc-18"/>
    <w:basedOn w:val="a0"/>
  </w:style>
  <w:style w:type="character" w:customStyle="1" w:styleId="cat-Dategrp-5rplc-19">
    <w:name w:val="cat-Date grp-5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Dategrp-6rplc-21">
    <w:name w:val="cat-Date grp-6 rplc-21"/>
    <w:basedOn w:val="a0"/>
  </w:style>
  <w:style w:type="character" w:customStyle="1" w:styleId="cat-FIOgrp-11rplc-22">
    <w:name w:val="cat-FIO grp-11 rplc-22"/>
    <w:basedOn w:val="a0"/>
  </w:style>
  <w:style w:type="character" w:customStyle="1" w:styleId="cat-Dategrp-4rplc-23">
    <w:name w:val="cat-Date grp-4 rplc-23"/>
    <w:basedOn w:val="a0"/>
  </w:style>
  <w:style w:type="character" w:customStyle="1" w:styleId="cat-OrganizationNamegrp-24rplc-24">
    <w:name w:val="cat-OrganizationName grp-24 rplc-24"/>
    <w:basedOn w:val="a0"/>
  </w:style>
  <w:style w:type="character" w:customStyle="1" w:styleId="cat-FIOgrp-11rplc-25">
    <w:name w:val="cat-FIO grp-11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Dategrp-7rplc-27">
    <w:name w:val="cat-Date grp-7 rplc-27"/>
    <w:basedOn w:val="a0"/>
  </w:style>
  <w:style w:type="character" w:customStyle="1" w:styleId="cat-Dategrp-5rplc-28">
    <w:name w:val="cat-Date grp-5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OrganizationNamegrp-22rplc-34">
    <w:name w:val="cat-OrganizationName grp-22 rplc-34"/>
    <w:basedOn w:val="a0"/>
  </w:style>
  <w:style w:type="character" w:customStyle="1" w:styleId="cat-FIOgrp-8rplc-35">
    <w:name w:val="cat-FIO grp-8 rplc-35"/>
    <w:basedOn w:val="a0"/>
  </w:style>
  <w:style w:type="character" w:customStyle="1" w:styleId="cat-FIOgrp-12rplc-36">
    <w:name w:val="cat-FIO grp-12 rplc-36"/>
    <w:basedOn w:val="a0"/>
  </w:style>
  <w:style w:type="character" w:customStyle="1" w:styleId="cat-OrganizationNamegrp-22rplc-37">
    <w:name w:val="cat-OrganizationName grp-22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FIOgrp-9rplc-42">
    <w:name w:val="cat-FIO grp-9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