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8A0979" w14:textId="77777777" w:rsidR="00000000" w:rsidRDefault="00BE617F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77RS0004-02-2022-000403-97</w:t>
      </w:r>
    </w:p>
    <w:p w14:paraId="269A1929" w14:textId="77777777" w:rsidR="00000000" w:rsidRDefault="00BE617F">
      <w:pPr>
        <w:ind w:firstLine="567"/>
        <w:jc w:val="right"/>
        <w:rPr>
          <w:lang w:val="en-BE" w:eastAsia="en-BE" w:bidi="ar-SA"/>
        </w:rPr>
      </w:pPr>
    </w:p>
    <w:p w14:paraId="00C40833" w14:textId="77777777" w:rsidR="00000000" w:rsidRDefault="00BE617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B7B38E2" w14:textId="77777777" w:rsidR="00000000" w:rsidRDefault="00BE617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1422453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21784AA9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</w:t>
      </w:r>
      <w:r>
        <w:rPr>
          <w:rStyle w:val="cat-Dategrp-3rplc-1"/>
          <w:lang w:val="en-BE" w:eastAsia="en-BE" w:bidi="ar-SA"/>
        </w:rPr>
        <w:t>дата</w:t>
      </w:r>
    </w:p>
    <w:p w14:paraId="1ED50C50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6E462783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</w:t>
      </w:r>
      <w:r>
        <w:rPr>
          <w:lang w:val="en-BE" w:eastAsia="en-BE" w:bidi="ar-SA"/>
        </w:rPr>
        <w:t>стакова Д.Г., при помощнике судьи Данзын-оол С.С., рассмотрев в открытом судебном заседании гражданское дело № 2-2138/</w:t>
      </w:r>
      <w:r>
        <w:rPr>
          <w:rStyle w:val="cat-Dategrp-4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иску Снитко Натальи Валерьевны к ПАО «Сбербанк России» о признании кредитного договора недействительным</w:t>
      </w:r>
    </w:p>
    <w:p w14:paraId="1466AD40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42113004" w14:textId="77777777" w:rsidR="00000000" w:rsidRDefault="00BE617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86BD309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4B8BC1FB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Снитко </w:t>
      </w:r>
      <w:r>
        <w:rPr>
          <w:lang w:val="en-BE" w:eastAsia="en-BE" w:bidi="ar-SA"/>
        </w:rPr>
        <w:t>Н.В. обратилась в суд с иском к ПАО «Сбербанк России» о признании кредитного договора № 1088-Р-</w:t>
      </w:r>
      <w:r>
        <w:rPr>
          <w:rStyle w:val="cat-UserDefinedgrp-38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от </w:t>
      </w:r>
      <w:r>
        <w:rPr>
          <w:rStyle w:val="cat-Dategrp-5rplc-1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недействительным, а также взыскании уплаченных, по указанному кредитному договору, денежных средств в размере </w:t>
      </w:r>
      <w:r>
        <w:rPr>
          <w:rStyle w:val="cat-Sumgrp-22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заявленные требования </w:t>
      </w:r>
      <w:r>
        <w:rPr>
          <w:lang w:val="en-BE" w:eastAsia="en-BE" w:bidi="ar-SA"/>
        </w:rPr>
        <w:t xml:space="preserve">тем, что указанная карта была оформлена на номер телефона </w:t>
      </w:r>
      <w:r>
        <w:rPr>
          <w:rStyle w:val="cat-PhoneNumbergrp-29rplc-13"/>
          <w:lang w:val="en-BE" w:eastAsia="en-BE" w:bidi="ar-SA"/>
        </w:rPr>
        <w:t>телефон</w:t>
      </w:r>
      <w:r>
        <w:rPr>
          <w:rStyle w:val="cat-UserDefinedgrp-31rplc-14"/>
          <w:lang w:val="en-BE" w:eastAsia="en-BE" w:bidi="ar-SA"/>
        </w:rPr>
        <w:t>...</w:t>
      </w:r>
      <w:r>
        <w:rPr>
          <w:lang w:val="en-BE" w:eastAsia="en-BE" w:bidi="ar-SA"/>
        </w:rPr>
        <w:t>, с которого в последствии снимались денежные средства. Указанный номер принадлежит сестре истца. У истца намерений оформлять кредит не было. Некоторое время истец оплачивала кредит, однак</w:t>
      </w:r>
      <w:r>
        <w:rPr>
          <w:lang w:val="en-BE" w:eastAsia="en-BE" w:bidi="ar-SA"/>
        </w:rPr>
        <w:t>о в дальнейшем посчитала, что поскольку она кредит не оформляла, то и не должна его оплачивать.</w:t>
      </w:r>
    </w:p>
    <w:p w14:paraId="4B9D9F7C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не явилась, о дате, времени и месте судебного разбирательства извещена надлежащим образом, в материалах дела имеется ходатайство истц</w:t>
      </w:r>
      <w:r>
        <w:rPr>
          <w:lang w:val="en-BE" w:eastAsia="en-BE" w:bidi="ar-SA"/>
        </w:rPr>
        <w:t>а о рассмотрении дела в ее отсутствие.</w:t>
      </w:r>
    </w:p>
    <w:p w14:paraId="78FC4810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в судебное заседание не явился, о дате, времени и месте судебного разбирательства извещен надлежащим образом, направил в суд возражения на исковое заявление, в которых просил в удовлетворении з</w:t>
      </w:r>
      <w:r>
        <w:rPr>
          <w:lang w:val="en-BE" w:eastAsia="en-BE" w:bidi="ar-SA"/>
        </w:rPr>
        <w:t xml:space="preserve">аявленных требований отказать по доводам, указанным в возражениях. </w:t>
      </w:r>
    </w:p>
    <w:p w14:paraId="01657CDC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167 ГПК РФ суд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</w:t>
      </w:r>
      <w:r>
        <w:rPr>
          <w:lang w:val="en-BE" w:eastAsia="en-BE" w:bidi="ar-SA"/>
        </w:rPr>
        <w:t>ия о причинах неявки или суд признает причины их неявки неуважительными.</w:t>
      </w:r>
    </w:p>
    <w:p w14:paraId="2D73BEE4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 возможным рассмотреть дело в отсутствие сторон.</w:t>
      </w:r>
    </w:p>
    <w:p w14:paraId="4C6F08CB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проанализировав и оценив собранные по делу доказательства по своему внутреннему убеждению, основанному на всестороннем</w:t>
      </w:r>
      <w:r>
        <w:rPr>
          <w:lang w:val="en-BE" w:eastAsia="en-BE" w:bidi="ar-SA"/>
        </w:rPr>
        <w:t>, полном, объективном и непосредственном исследовании имеющихся в деле доказательств, учитывая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совокупности, приходит к</w:t>
      </w:r>
      <w:r>
        <w:rPr>
          <w:lang w:val="en-BE" w:eastAsia="en-BE" w:bidi="ar-SA"/>
        </w:rPr>
        <w:t xml:space="preserve"> следующему.</w:t>
      </w:r>
    </w:p>
    <w:p w14:paraId="5AB14287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7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8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</w:t>
      </w:r>
      <w:r>
        <w:rPr>
          <w:lang w:val="en-BE" w:eastAsia="en-BE" w:bidi="ar-SA"/>
        </w:rPr>
        <w:t>онституции РФ и ст.</w:t>
      </w:r>
      <w:hyperlink r:id="rId9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</w:t>
      </w:r>
      <w:r>
        <w:rPr>
          <w:lang w:val="en-BE" w:eastAsia="en-BE" w:bidi="ar-SA"/>
        </w:rPr>
        <w:t>на ссылается как на основания своих требований и возражений, если иное не предусмотрено федеральным законом.</w:t>
      </w:r>
    </w:p>
    <w:p w14:paraId="5D52110E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</w:t>
      </w:r>
      <w:r>
        <w:rPr>
          <w:lang w:val="en-BE" w:eastAsia="en-BE" w:bidi="ar-SA"/>
        </w:rPr>
        <w:t>дственном исследовании имеющихся в деле доказательств.</w:t>
      </w:r>
    </w:p>
    <w:p w14:paraId="3065220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</w:t>
      </w:r>
      <w:r>
        <w:rPr>
          <w:lang w:val="en-BE" w:eastAsia="en-BE" w:bidi="ar-SA"/>
        </w:rPr>
        <w:t>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14:paraId="32D7152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 1 ст. 12 ГПК РФ</w:t>
      </w:r>
      <w:r>
        <w:rPr>
          <w:lang w:val="en-BE" w:eastAsia="en-BE" w:bidi="ar-SA"/>
        </w:rPr>
        <w:t xml:space="preserve"> правосудие по гражданским делам осуществляется на основе состязательности и равноправия сторон.</w:t>
      </w:r>
    </w:p>
    <w:p w14:paraId="00532BE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ст.2 ГПК РФ задачами гражданского судопроизводства являются правильное и своевременное рассмотрение и разрешение гражданских дел в целях защи</w:t>
      </w:r>
      <w:r>
        <w:rPr>
          <w:lang w:val="en-BE" w:eastAsia="en-BE" w:bidi="ar-SA"/>
        </w:rPr>
        <w:t>ты нарушенных или оспариваемых прав, свобод и законных интересов граждан, организаций, прав и интересов Российской Федерации, субъектов Российской Федерации, муниципальных образований, других лиц, являющихся субъектами гражданских, трудовых или иных правоо</w:t>
      </w:r>
      <w:r>
        <w:rPr>
          <w:lang w:val="en-BE" w:eastAsia="en-BE" w:bidi="ar-SA"/>
        </w:rPr>
        <w:t>тношений.</w:t>
      </w:r>
    </w:p>
    <w:p w14:paraId="11C7C8E9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14:paraId="38734885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ст.ст.421, 819 ГК </w:t>
      </w:r>
      <w:r>
        <w:rPr>
          <w:lang w:val="en-BE" w:eastAsia="en-BE" w:bidi="ar-SA"/>
        </w:rPr>
        <w:t>РФ, обязанность кредитной организации предоставить денежные средства (кредит, транш) является первичной по отношению к обязанностям заемщика возвратить сумму кредита, уплатить проценты за пользование кредитом, которые имеют встречный характер (п.1 ст.328 Г</w:t>
      </w:r>
      <w:r>
        <w:rPr>
          <w:lang w:val="en-BE" w:eastAsia="en-BE" w:bidi="ar-SA"/>
        </w:rPr>
        <w:t>К РФ).</w:t>
      </w:r>
    </w:p>
    <w:p w14:paraId="39B1EF2A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ГК РФ договор вступает в силу и становится обязательным для сторон с момента его заключения.</w:t>
      </w:r>
    </w:p>
    <w:p w14:paraId="7A30E9E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ст.432 ГК РФ договор считается заключенным, если между сторонами, в требуемой в подлежащих случаях форме, достигнуто соглашение по </w:t>
      </w:r>
      <w:r>
        <w:rPr>
          <w:lang w:val="en-BE" w:eastAsia="en-BE" w:bidi="ar-SA"/>
        </w:rPr>
        <w:t>всем существенным условиям договора.</w:t>
      </w:r>
    </w:p>
    <w:p w14:paraId="418B6132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</w:t>
      </w:r>
      <w:r>
        <w:rPr>
          <w:lang w:val="en-BE" w:eastAsia="en-BE" w:bidi="ar-SA"/>
        </w:rPr>
        <w:t>заявлению одной из сторон должно быть достигнуто соглашение.</w:t>
      </w:r>
    </w:p>
    <w:p w14:paraId="1B1CA03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343C45A3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</w:t>
      </w:r>
      <w:r>
        <w:rPr>
          <w:lang w:val="en-BE" w:eastAsia="en-BE" w:bidi="ar-SA"/>
        </w:rPr>
        <w:t xml:space="preserve">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</w:t>
      </w:r>
      <w:r>
        <w:rPr>
          <w:lang w:val="en-BE" w:eastAsia="en-BE" w:bidi="ar-SA"/>
        </w:rPr>
        <w:t>ности.</w:t>
      </w:r>
    </w:p>
    <w:p w14:paraId="07485343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7CAEEB0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Договор в письменной форме может быть заключен путем составления одного </w:t>
      </w:r>
      <w:r>
        <w:rPr>
          <w:lang w:val="en-BE" w:eastAsia="en-BE" w:bidi="ar-SA"/>
        </w:rPr>
        <w:t>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Кодекса, согласно которого письменная форм</w:t>
      </w:r>
      <w:r>
        <w:rPr>
          <w:lang w:val="en-BE" w:eastAsia="en-BE" w:bidi="ar-SA"/>
        </w:rPr>
        <w:t>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требование о наличии подписи считает</w:t>
      </w:r>
      <w:r>
        <w:rPr>
          <w:lang w:val="en-BE" w:eastAsia="en-BE" w:bidi="ar-SA"/>
        </w:rPr>
        <w:t xml:space="preserve">ся выполненным, если использован любой способ, позволяющий достоверно определить лицо, выразившее волю. Законом, иными правовыми актами и </w:t>
      </w:r>
      <w:r>
        <w:rPr>
          <w:lang w:val="en-BE" w:eastAsia="en-BE" w:bidi="ar-SA"/>
        </w:rPr>
        <w:lastRenderedPageBreak/>
        <w:t>соглашением сторон может быть предусмотрен специальный способ достоверного определения лица, выразившего волю.</w:t>
      </w:r>
    </w:p>
    <w:p w14:paraId="5D7B8CDD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Использ</w:t>
      </w:r>
      <w:r>
        <w:rPr>
          <w:lang w:val="en-BE" w:eastAsia="en-BE" w:bidi="ar-SA"/>
        </w:rPr>
        <w:t>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согл</w:t>
      </w:r>
      <w:r>
        <w:rPr>
          <w:lang w:val="en-BE" w:eastAsia="en-BE" w:bidi="ar-SA"/>
        </w:rPr>
        <w:t>ашением сторон (п.2 ст.160 ГК РФ).</w:t>
      </w:r>
    </w:p>
    <w:p w14:paraId="67D7D6F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соответствие с ч.4 ст.11 Федерального закона от </w:t>
      </w:r>
      <w:r>
        <w:rPr>
          <w:rStyle w:val="cat-Dategrp-6rplc-15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149-ФЗ «Об информации, информационных технологиях и о защите информации» в целях заключения гражданско-правовых договоров или оформления иных правоотношений, в кото</w:t>
      </w:r>
      <w:r>
        <w:rPr>
          <w:lang w:val="en-BE" w:eastAsia="en-BE" w:bidi="ar-SA"/>
        </w:rPr>
        <w:t>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</w:t>
      </w:r>
      <w:r>
        <w:rPr>
          <w:lang w:val="en-BE" w:eastAsia="en-BE" w:bidi="ar-SA"/>
        </w:rPr>
        <w:t>онами, иными нормативными правовыми актами или соглашением сторон, рассматривается как обмен документами.</w:t>
      </w:r>
    </w:p>
    <w:p w14:paraId="5E5EDC62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ч.7 ст.7 Федерального закона от </w:t>
      </w:r>
      <w:r>
        <w:rPr>
          <w:rStyle w:val="cat-Dategrp-7rplc-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353-ФЗ «О потребительском кредите (займе) договор потребительского кредита считается заключенным, если</w:t>
      </w:r>
      <w:r>
        <w:rPr>
          <w:lang w:val="en-BE" w:eastAsia="en-BE" w:bidi="ar-SA"/>
        </w:rPr>
        <w:t xml:space="preserve"> между сторонами договора достигнуто согласие по всем индивидуальным условиям договора, указанным в ч.9 ст.5 настоящего Федерального закона. Договор потребительского займа считается заключенным с момента передачи заемщику денежных средств.</w:t>
      </w:r>
    </w:p>
    <w:p w14:paraId="783971D7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</w:t>
      </w:r>
      <w:r>
        <w:rPr>
          <w:lang w:val="en-BE" w:eastAsia="en-BE" w:bidi="ar-SA"/>
        </w:rPr>
        <w:t>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</w:t>
      </w:r>
      <w:r>
        <w:rPr>
          <w:lang w:val="en-BE" w:eastAsia="en-BE" w:bidi="ar-SA"/>
        </w:rPr>
        <w:t xml:space="preserve">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</w:t>
      </w:r>
      <w:r>
        <w:rPr>
          <w:lang w:val="en-BE" w:eastAsia="en-BE" w:bidi="ar-SA"/>
        </w:rPr>
        <w:t xml:space="preserve">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</w:t>
      </w:r>
      <w:r>
        <w:rPr>
          <w:lang w:val="en-BE" w:eastAsia="en-BE" w:bidi="ar-SA"/>
        </w:rPr>
        <w:t>быть заключен договор потребительского кредита (займа) и который определяется в соответствии с настоящим Федеральным законом (ч.14 ст.7 названного ФЗ)</w:t>
      </w:r>
    </w:p>
    <w:p w14:paraId="4ED147EE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ст.166 ГК РФ, сделка недействительна по основаниям, установленным законом, в силу признания ее</w:t>
      </w:r>
      <w:r>
        <w:rPr>
          <w:lang w:val="en-BE" w:eastAsia="en-BE" w:bidi="ar-SA"/>
        </w:rPr>
        <w:t xml:space="preserve"> таковой судом (оспоримая сделка) либо независимо от такого признания (ничтожная сделка). Оспоримая сделка может быть признана недействительной, если она нарушает права или охраняемые законом интересы лица, оспаривающего сделку, в том числе повлекла неблаг</w:t>
      </w:r>
      <w:r>
        <w:rPr>
          <w:lang w:val="en-BE" w:eastAsia="en-BE" w:bidi="ar-SA"/>
        </w:rPr>
        <w:t xml:space="preserve">оприятные для него последствия. </w:t>
      </w:r>
    </w:p>
    <w:p w14:paraId="4DC154FE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1.5. Положения Банка России от </w:t>
      </w:r>
      <w:r>
        <w:rPr>
          <w:rStyle w:val="cat-Dategrp-8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266-П «Об эмиссии платежных карт и об операциях, совершаемых с их использованием» кредитная организация вправе осуществлять эмиссию банковских карт следующих видов: расчетных </w:t>
      </w:r>
      <w:r>
        <w:rPr>
          <w:lang w:val="en-BE" w:eastAsia="en-BE" w:bidi="ar-SA"/>
        </w:rPr>
        <w:t>(дебетовых) карт, кредитных карт и предоплаченных карт, держателями которых являются физические лица, в том числе уполномоченные юридическими лицами, индивидуальными предпринимателями (далее - держатели). Кредитная карта как электронное средство платежа ис</w:t>
      </w:r>
      <w:r>
        <w:rPr>
          <w:lang w:val="en-BE" w:eastAsia="en-BE" w:bidi="ar-SA"/>
        </w:rPr>
        <w:t>пользуется для совершения ее держателем операций за счет денежных средств предоставленных кредитной организацией - эмитентом клиенту в пределах расходного лимита в соответствии с условиями кредитного договора.</w:t>
      </w:r>
    </w:p>
    <w:p w14:paraId="0CE684D2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 и следует</w:t>
      </w:r>
      <w:r>
        <w:rPr>
          <w:lang w:val="en-BE" w:eastAsia="en-BE" w:bidi="ar-SA"/>
        </w:rPr>
        <w:t xml:space="preserve"> из материалов дела, </w:t>
      </w:r>
      <w:r>
        <w:rPr>
          <w:rStyle w:val="cat-Dategrp-9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сторонами заключен договор банковского обслуживания (ДБО) № 700000667234.</w:t>
      </w:r>
    </w:p>
    <w:p w14:paraId="0282190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rStyle w:val="cat-Dategrp-10rplc-19"/>
          <w:lang w:val="en-BE" w:eastAsia="en-BE" w:bidi="ar-SA"/>
        </w:rPr>
        <w:lastRenderedPageBreak/>
        <w:t>дата</w:t>
      </w:r>
      <w:r>
        <w:rPr>
          <w:lang w:val="en-BE" w:eastAsia="en-BE" w:bidi="ar-SA"/>
        </w:rPr>
        <w:t xml:space="preserve"> истцом подписано заявление на получение международной дебетовой кварты Visa-Electron № 4276ХХХХ</w:t>
      </w:r>
      <w:r>
        <w:rPr>
          <w:rStyle w:val="cat-UserDefinedgrp-32rplc-20"/>
          <w:lang w:val="en-BE" w:eastAsia="en-BE" w:bidi="ar-SA"/>
        </w:rPr>
        <w:t>...</w:t>
      </w:r>
      <w:r>
        <w:rPr>
          <w:lang w:val="en-BE" w:eastAsia="en-BE" w:bidi="ar-SA"/>
        </w:rPr>
        <w:t xml:space="preserve"> (счет № 40817ХХХХ</w:t>
      </w:r>
      <w:r>
        <w:rPr>
          <w:rStyle w:val="cat-UserDefinedgrp-33rplc-21"/>
          <w:lang w:val="en-BE" w:eastAsia="en-BE" w:bidi="ar-SA"/>
        </w:rPr>
        <w:t>...</w:t>
      </w:r>
      <w:r>
        <w:rPr>
          <w:lang w:val="en-BE" w:eastAsia="en-BE" w:bidi="ar-SA"/>
        </w:rPr>
        <w:t>) в рамках ДБО.</w:t>
      </w:r>
    </w:p>
    <w:p w14:paraId="5406BF83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rStyle w:val="cat-Dategrp-11rplc-2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истцу</w:t>
      </w:r>
      <w:r>
        <w:rPr>
          <w:lang w:val="en-BE" w:eastAsia="en-BE" w:bidi="ar-SA"/>
        </w:rPr>
        <w:t xml:space="preserve"> была выдана карта VISA Classic № 4817ХХХХХ</w:t>
      </w:r>
      <w:r>
        <w:rPr>
          <w:rStyle w:val="cat-UserDefinedgrp-34rplc-23"/>
          <w:lang w:val="en-BE" w:eastAsia="en-BE" w:bidi="ar-SA"/>
        </w:rPr>
        <w:t>...</w:t>
      </w:r>
      <w:r>
        <w:rPr>
          <w:lang w:val="en-BE" w:eastAsia="en-BE" w:bidi="ar-SA"/>
        </w:rPr>
        <w:t xml:space="preserve"> (номер счета 40817ХХХХХ</w:t>
      </w:r>
      <w:r>
        <w:rPr>
          <w:rStyle w:val="cat-UserDefinedgrp-35rplc-24"/>
          <w:lang w:val="en-BE" w:eastAsia="en-BE" w:bidi="ar-SA"/>
        </w:rPr>
        <w:t>...</w:t>
      </w:r>
      <w:r>
        <w:rPr>
          <w:lang w:val="en-BE" w:eastAsia="en-BE" w:bidi="ar-SA"/>
        </w:rPr>
        <w:t>).</w:t>
      </w:r>
    </w:p>
    <w:p w14:paraId="21EDF79C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rStyle w:val="cat-Dategrp-12rplc-2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истцу была выдана карта VISA Digital № 4274ХХХХ</w:t>
      </w:r>
      <w:r>
        <w:rPr>
          <w:rStyle w:val="cat-UserDefinedgrp-36rplc-26"/>
          <w:lang w:val="en-BE" w:eastAsia="en-BE" w:bidi="ar-SA"/>
        </w:rPr>
        <w:t>...</w:t>
      </w:r>
      <w:r>
        <w:rPr>
          <w:lang w:val="en-BE" w:eastAsia="en-BE" w:bidi="ar-SA"/>
        </w:rPr>
        <w:t xml:space="preserve"> (номер счета 40817ХХХХ</w:t>
      </w:r>
      <w:r>
        <w:rPr>
          <w:rStyle w:val="cat-UserDefinedgrp-37rplc-27"/>
          <w:lang w:val="en-BE" w:eastAsia="en-BE" w:bidi="ar-SA"/>
        </w:rPr>
        <w:t>...</w:t>
      </w:r>
      <w:r>
        <w:rPr>
          <w:lang w:val="en-BE" w:eastAsia="en-BE" w:bidi="ar-SA"/>
        </w:rPr>
        <w:t>).</w:t>
      </w:r>
    </w:p>
    <w:p w14:paraId="4140DF2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заключения договоров в электронном виде между клиентом и банком регулируется Договором б</w:t>
      </w:r>
      <w:r>
        <w:rPr>
          <w:lang w:val="en-BE" w:eastAsia="en-BE" w:bidi="ar-SA"/>
        </w:rPr>
        <w:t>анковского обслуживания (ДБО), а ранее Условиями использования карт.</w:t>
      </w:r>
    </w:p>
    <w:p w14:paraId="70BEDACC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 Приложения 1 к Условиям банковского обслуживания аналогом собственноручной подписи клиента, используемым для целей подписания электронных документов в Системе «Сб</w:t>
      </w:r>
      <w:r>
        <w:rPr>
          <w:lang w:val="en-BE" w:eastAsia="en-BE" w:bidi="ar-SA"/>
        </w:rPr>
        <w:t>ербанк Онлайн», является одноразовый пароль: нажатие кнопки «подтверждаю».</w:t>
      </w:r>
    </w:p>
    <w:p w14:paraId="64DCC44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Электронные документы, в том числе договоры и заявления, подписанные с использованием аналога собственноручной подписи/простой электронной подписью признаются банком и клиентом равн</w:t>
      </w:r>
      <w:r>
        <w:rPr>
          <w:lang w:val="en-BE" w:eastAsia="en-BE" w:bidi="ar-SA"/>
        </w:rPr>
        <w:t>означными документам на бумажном носителе, подписанным собственноручной подписью, и могут служить доказательством в суде.</w:t>
      </w:r>
    </w:p>
    <w:p w14:paraId="046402D0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Указанные документы являются основанием для проведения операций банком п совершения иных действий (сделок). Сделки, заключенные путем </w:t>
      </w:r>
      <w:r>
        <w:rPr>
          <w:lang w:val="en-BE" w:eastAsia="en-BE" w:bidi="ar-SA"/>
        </w:rPr>
        <w:t>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</w:t>
      </w:r>
      <w:r>
        <w:rPr>
          <w:lang w:val="en-BE" w:eastAsia="en-BE" w:bidi="ar-SA"/>
        </w:rPr>
        <w:t>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0BCC9F8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договора банковского обслуживания, истец выразила согласие с Условиями банковского обслуживания физических лиц и</w:t>
      </w:r>
      <w:r>
        <w:rPr>
          <w:lang w:val="en-BE" w:eastAsia="en-BE" w:bidi="ar-SA"/>
        </w:rPr>
        <w:t xml:space="preserve"> обязалась их выполнять. </w:t>
      </w:r>
    </w:p>
    <w:p w14:paraId="4411FB0E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1.14 </w:t>
      </w:r>
      <w:r>
        <w:rPr>
          <w:rStyle w:val="cat-OrganizationNamegrp-25rplc-2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</w:t>
      </w:r>
      <w:r>
        <w:rPr>
          <w:lang w:val="en-BE" w:eastAsia="en-BE" w:bidi="ar-SA"/>
        </w:rPr>
        <w:t>ые стенды подразделений банка, и/или официальный сайт банка.</w:t>
      </w:r>
    </w:p>
    <w:p w14:paraId="00D9143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1.15 ДБО предусмотрено, что в случае несогласия клиента с изменением ДБО клиент имеет право расторгнуть ДБО, письменно уведомив об этом банк путем подачи заявления о расторжении ДБО по фо</w:t>
      </w:r>
      <w:r>
        <w:rPr>
          <w:lang w:val="en-BE" w:eastAsia="en-BE" w:bidi="ar-SA"/>
        </w:rPr>
        <w:t>рме, установленной банком. В случае неполучения банком до вступления в силу новых условий ДБО письменного уведомления о расторжении ДБО, банк считает это выражением согласия клиента с изменениями условий ДБО.</w:t>
      </w:r>
    </w:p>
    <w:p w14:paraId="22E94A70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истец с момента</w:t>
      </w:r>
      <w:r>
        <w:rPr>
          <w:lang w:val="en-BE" w:eastAsia="en-BE" w:bidi="ar-SA"/>
        </w:rPr>
        <w:t xml:space="preserve"> заключения ДБО не выразила своего несогласия с изменениями в условиях ДБО и не обратилась в банк с заявлением на его расторжение, таким образом, банк считает, что получено согласие истца на изменение условий ДБО.</w:t>
      </w:r>
    </w:p>
    <w:p w14:paraId="6AD976F7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Действие ДБО в части предоставления услуг </w:t>
      </w:r>
      <w:r>
        <w:rPr>
          <w:lang w:val="en-BE" w:eastAsia="en-BE" w:bidi="ar-SA"/>
        </w:rPr>
        <w:t>проведения операций через удаленные каналы обслуживания распространяется на счета карт, вклады, обезличенные металлические счета и иные счета, открытые клиенту в том числе в рамках отдельных договоров (п. 1.10 ДБО).</w:t>
      </w:r>
    </w:p>
    <w:p w14:paraId="33B5C3A0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банковское о</w:t>
      </w:r>
      <w:r>
        <w:rPr>
          <w:lang w:val="en-BE" w:eastAsia="en-BE" w:bidi="ar-SA"/>
        </w:rPr>
        <w:t>бслуживание, истец подтвердила свое ознакомление, согласие с Условиям банковского обслуживания физических лиц Сбербанка России и обязалась их выполнять.</w:t>
      </w:r>
    </w:p>
    <w:p w14:paraId="5F1EA3EB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получение международной дебетовой карты, истец подтвердила свое ознакомлени</w:t>
      </w:r>
      <w:r>
        <w:rPr>
          <w:lang w:val="en-BE" w:eastAsia="en-BE" w:bidi="ar-SA"/>
        </w:rPr>
        <w:t xml:space="preserve">е, согласие с Условиями использования международных карт </w:t>
      </w:r>
      <w:r>
        <w:rPr>
          <w:lang w:val="en-BE" w:eastAsia="en-BE" w:bidi="ar-SA"/>
        </w:rPr>
        <w:lastRenderedPageBreak/>
        <w:t>Сбербанка России, являющимися приложением к Условиям банковского обслуживания физических лиц Сбербанка России, Памяткой Держателя и Тарифами Сбербанка России.</w:t>
      </w:r>
    </w:p>
    <w:p w14:paraId="3583638F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Услуга смс-банк (Мобильный банк) по карт</w:t>
      </w:r>
      <w:r>
        <w:rPr>
          <w:lang w:val="en-BE" w:eastAsia="en-BE" w:bidi="ar-SA"/>
        </w:rPr>
        <w:t>е истца Visa-Electron № 4276ХХХХ</w:t>
      </w:r>
      <w:r>
        <w:rPr>
          <w:rStyle w:val="cat-UserDefinedgrp-32rplc-29"/>
          <w:lang w:val="en-BE" w:eastAsia="en-BE" w:bidi="ar-SA"/>
        </w:rPr>
        <w:t>...</w:t>
      </w:r>
      <w:r>
        <w:rPr>
          <w:lang w:val="en-BE" w:eastAsia="en-BE" w:bidi="ar-SA"/>
        </w:rPr>
        <w:t xml:space="preserve"> к номеру телефона </w:t>
      </w:r>
      <w:r>
        <w:rPr>
          <w:rStyle w:val="cat-PhoneNumbergrp-30rplc-30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была подключена </w:t>
      </w:r>
      <w:r>
        <w:rPr>
          <w:rStyle w:val="cat-Dategrp-13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при выдаче дебетовой карты.</w:t>
      </w:r>
    </w:p>
    <w:p w14:paraId="0C8F4217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Услуга смс-банк (Мобильный банк) по карте истца VISA Classic № 48177ХХХХ491 к номеру телефона </w:t>
      </w:r>
      <w:r>
        <w:rPr>
          <w:rStyle w:val="cat-UserDefinedgrp-31rplc-32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была подключена </w:t>
      </w:r>
      <w:r>
        <w:rPr>
          <w:rStyle w:val="cat-Dategrp-14rplc-3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устройстве самообслу</w:t>
      </w:r>
      <w:r>
        <w:rPr>
          <w:lang w:val="en-BE" w:eastAsia="en-BE" w:bidi="ar-SA"/>
        </w:rPr>
        <w:t>живания.</w:t>
      </w:r>
    </w:p>
    <w:p w14:paraId="6EE7175D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Услуга смс-банк (Мобильный банк) по карте истца VISA Digital № 4274ХХХХ</w:t>
      </w:r>
      <w:r>
        <w:rPr>
          <w:rStyle w:val="cat-UserDefinedgrp-36rplc-34"/>
          <w:lang w:val="en-BE" w:eastAsia="en-BE" w:bidi="ar-SA"/>
        </w:rPr>
        <w:t>...</w:t>
      </w:r>
      <w:r>
        <w:rPr>
          <w:lang w:val="en-BE" w:eastAsia="en-BE" w:bidi="ar-SA"/>
        </w:rPr>
        <w:t xml:space="preserve"> к номеру телефона </w:t>
      </w:r>
      <w:r>
        <w:rPr>
          <w:rStyle w:val="cat-UserDefinedgrp-31rplc-3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была подключена </w:t>
      </w:r>
      <w:r>
        <w:rPr>
          <w:rStyle w:val="cat-Dategrp-15rplc-3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ВСП (внутреннее структурное подразделение).</w:t>
      </w:r>
    </w:p>
    <w:p w14:paraId="32782EAA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3.9.1. ДБО предусмотрено, что клиент имеет право заключить с банком кре</w:t>
      </w:r>
      <w:r>
        <w:rPr>
          <w:lang w:val="en-BE" w:eastAsia="en-BE" w:bidi="ar-SA"/>
        </w:rPr>
        <w:t>дитный(ые) договор(ы), в том числе с использованием системы «Сбербанк Онлайн» и электронных терминалов у партнеров. Проведение кредитных операций в системе «Сбербанк Онлайн» и с использованием электронных терминалов у партнеров осуществляется с учетом треб</w:t>
      </w:r>
      <w:r>
        <w:rPr>
          <w:lang w:val="en-BE" w:eastAsia="en-BE" w:bidi="ar-SA"/>
        </w:rPr>
        <w:t>ований порядка предоставления ПАО Сбербанк услуг через удаленные каналы обслуживания (Приложение 1 к Условиям банковского обслуживания) п. 3.9.2 ДБО.</w:t>
      </w:r>
    </w:p>
    <w:p w14:paraId="47A30E8B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1.1 Приложения 1 к Условиям банковского обслуживания выпуск кредитной карты осуществляется в с</w:t>
      </w:r>
      <w:r>
        <w:rPr>
          <w:lang w:val="en-BE" w:eastAsia="en-BE" w:bidi="ar-SA"/>
        </w:rPr>
        <w:t>оответствии с «Индивидуальными условиями выпуска; и обслуживания кредитной карты ПАО Сбербанк» и «Общими условиями выпуска и обслуживания кредитной карты ПАО Сбербанк», размещаемыми на Официальном сайте банка и в подразделениях банка. Вид карты определяетс</w:t>
      </w:r>
      <w:r>
        <w:rPr>
          <w:lang w:val="en-BE" w:eastAsia="en-BE" w:bidi="ar-SA"/>
        </w:rPr>
        <w:t xml:space="preserve">я по согласованию с клиентом, с учетом возможности выпуска данного вида карты клиенту. С использованием карты клиент получает возможность совершать в соответствии с ДБО операции и/или получать информацию по счетам/вкладам и другим продуктам в банке через </w:t>
      </w:r>
      <w:r>
        <w:rPr>
          <w:rStyle w:val="cat-Addressgrp-1rplc-37"/>
          <w:lang w:val="en-BE" w:eastAsia="en-BE" w:bidi="ar-SA"/>
        </w:rPr>
        <w:t>а</w:t>
      </w:r>
      <w:r>
        <w:rPr>
          <w:rStyle w:val="cat-Addressgrp-1rplc-37"/>
          <w:lang w:val="en-BE" w:eastAsia="en-BE" w:bidi="ar-SA"/>
        </w:rPr>
        <w:t>дрес</w:t>
      </w:r>
      <w:r>
        <w:rPr>
          <w:lang w:val="en-BE" w:eastAsia="en-BE" w:bidi="ar-SA"/>
        </w:rPr>
        <w:t xml:space="preserve"> обслуживания (УКО).</w:t>
      </w:r>
    </w:p>
    <w:p w14:paraId="5571BBB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Доступ клиента к услугам системы «Сбербанк Онлайн» осуществляется при условии его успешной идентификации на основании логина (идентификатора пользователя) и/или биометрических персональных данных клиента и аутентификации на основан</w:t>
      </w:r>
      <w:r>
        <w:rPr>
          <w:lang w:val="en-BE" w:eastAsia="en-BE" w:bidi="ar-SA"/>
        </w:rPr>
        <w:t>ии постоянного пароля и/или одноразового пароля и/или на оснований положительного ответа от автоматизированной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</w:t>
      </w:r>
      <w:r>
        <w:rPr>
          <w:lang w:val="en-BE" w:eastAsia="en-BE" w:bidi="ar-SA"/>
        </w:rPr>
        <w:t>ка (п. 3.7. Приложения 1 к Условиям банковского обслуживания).</w:t>
      </w:r>
    </w:p>
    <w:p w14:paraId="073B57CA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3.8. Приложения 1 к Условиям банковского обслуживания, операции в системе «Сбербанк Онлайн» клиент подтверждает одноразовым паролем, который вводится при совершении операции</w:t>
      </w:r>
      <w:r>
        <w:rPr>
          <w:lang w:val="en-BE" w:eastAsia="en-BE" w:bidi="ar-SA"/>
        </w:rPr>
        <w:t xml:space="preserve"> в системе «Сбербанк Онлайн», либо путем нажатия при совершении операции кнопки «подтверждаю», либо ввода команды подтверждения при совершении операции в интерфейсе системы «Сбербанк Онлайн». Одноразовые пароли клиент может получить, в том числе в смс-сооб</w:t>
      </w:r>
      <w:r>
        <w:rPr>
          <w:lang w:val="en-BE" w:eastAsia="en-BE" w:bidi="ar-SA"/>
        </w:rPr>
        <w:t xml:space="preserve">щении, отправленном на номер мобильного телефона, зарегистрированный для доступа к смс-банку (Мобильному банку) по карте (при выборе данного способа получения одноразового пароля в системе «Сбербанк Онлайн»); в Push-уведомлении (при выборе данного способа </w:t>
      </w:r>
      <w:r>
        <w:rPr>
          <w:lang w:val="en-BE" w:eastAsia="en-BE" w:bidi="ar-SA"/>
        </w:rPr>
        <w:t>получения одноразового пароля в системе «Сбербанк Онлайн»).</w:t>
      </w:r>
    </w:p>
    <w:p w14:paraId="0AA3A0F9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отмечает, что указанный способ согласован сторонами и предусмотрен в ст. 160 Гражданского кодекса РФ.</w:t>
      </w:r>
    </w:p>
    <w:p w14:paraId="426339F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rStyle w:val="cat-Dategrp-5rplc-3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стороны заключили договор на выпуск и обслуживание кредитной карты ПАО Сбербанк, откр</w:t>
      </w:r>
      <w:r>
        <w:rPr>
          <w:lang w:val="en-BE" w:eastAsia="en-BE" w:bidi="ar-SA"/>
        </w:rPr>
        <w:t>ытие счета для учета операций с использованием карты и предоставление возобновляемой кредитной линии для проведения операций по карте MASTERCARD CREDIT DIGITAL № 1088-P-</w:t>
      </w:r>
      <w:r>
        <w:rPr>
          <w:rStyle w:val="cat-UserDefinedgrp-38rplc-39"/>
          <w:lang w:val="en-BE" w:eastAsia="en-BE" w:bidi="ar-SA"/>
        </w:rPr>
        <w:t>...</w:t>
      </w:r>
      <w:r>
        <w:rPr>
          <w:lang w:val="en-BE" w:eastAsia="en-BE" w:bidi="ar-SA"/>
        </w:rPr>
        <w:t>, состоящий в совокупности из Индивидуальных условий выпуска и обслуживания кредитно</w:t>
      </w:r>
      <w:r>
        <w:rPr>
          <w:lang w:val="en-BE" w:eastAsia="en-BE" w:bidi="ar-SA"/>
        </w:rPr>
        <w:t xml:space="preserve">й карты ПАО Сбербанк, Общих условий выпуска и </w:t>
      </w:r>
      <w:r>
        <w:rPr>
          <w:lang w:val="en-BE" w:eastAsia="en-BE" w:bidi="ar-SA"/>
        </w:rPr>
        <w:lastRenderedPageBreak/>
        <w:t>обслуживания кредитной карты ПАО Сбербанк, Памятки Держателя карт ПАО Сбербанк, Альбома тарифов на услуги, предоставляемые ПАО Сбербанк физическим лицам.</w:t>
      </w:r>
    </w:p>
    <w:p w14:paraId="73B37379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указанного договора на имя истца выпущена к</w:t>
      </w:r>
      <w:r>
        <w:rPr>
          <w:lang w:val="en-BE" w:eastAsia="en-BE" w:bidi="ar-SA"/>
        </w:rPr>
        <w:t xml:space="preserve">редитная карта ЕСМС1960 через Систему «Сбербанк Онлайн» с кредитным лимитом </w:t>
      </w:r>
      <w:r>
        <w:rPr>
          <w:rStyle w:val="cat-Sumgrp-23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23,9 % годовых.</w:t>
      </w:r>
    </w:p>
    <w:p w14:paraId="4661D262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входа в систему Сбербанк Онлайн истцом были использованы реквизиты банковской карты Visa Classic № 48177ХХХХ</w:t>
      </w:r>
      <w:r>
        <w:rPr>
          <w:rStyle w:val="cat-UserDefinedgrp-34rplc-41"/>
          <w:lang w:val="en-BE" w:eastAsia="en-BE" w:bidi="ar-SA"/>
        </w:rPr>
        <w:t>...</w:t>
      </w:r>
      <w:r>
        <w:rPr>
          <w:lang w:val="en-BE" w:eastAsia="en-BE" w:bidi="ar-SA"/>
        </w:rPr>
        <w:t xml:space="preserve">, выпущенной </w:t>
      </w:r>
      <w:r>
        <w:rPr>
          <w:rStyle w:val="cat-Dategrp-11rplc-42"/>
          <w:lang w:val="en-BE" w:eastAsia="en-BE" w:bidi="ar-SA"/>
        </w:rPr>
        <w:t>дата</w:t>
      </w:r>
      <w:r>
        <w:rPr>
          <w:lang w:val="en-BE" w:eastAsia="en-BE" w:bidi="ar-SA"/>
        </w:rPr>
        <w:t>. При входе и проведен</w:t>
      </w:r>
      <w:r>
        <w:rPr>
          <w:lang w:val="en-BE" w:eastAsia="en-BE" w:bidi="ar-SA"/>
        </w:rPr>
        <w:t>ии операций были использованы правильный логин, постоянный п одноразовые пароли, которые согласно Условиям предоставления услуги Сбербанк-Онлайн, являются аналогом собственноручной подписи клиента.</w:t>
      </w:r>
    </w:p>
    <w:p w14:paraId="31D0C2F5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Вход в систему «Сбербанк Онлайн» истцом осуществлен через </w:t>
      </w:r>
      <w:r>
        <w:rPr>
          <w:lang w:val="en-BE" w:eastAsia="en-BE" w:bidi="ar-SA"/>
        </w:rPr>
        <w:t>приложение Сбербанк Онлайн, подтверждение паролем не требуется, что следует из выгрузки системы Сбербанк Онлайн (журнал регистрации входов в «Сбербанк Онлайн»).</w:t>
      </w:r>
    </w:p>
    <w:p w14:paraId="30D4042D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подтверждения действий, направленных на получение кредитной карты, а именно данных анкеты и</w:t>
      </w:r>
      <w:r>
        <w:rPr>
          <w:lang w:val="en-BE" w:eastAsia="en-BE" w:bidi="ar-SA"/>
        </w:rPr>
        <w:t xml:space="preserve"> заявки на получение кредитной карты, </w:t>
      </w:r>
      <w:r>
        <w:rPr>
          <w:rStyle w:val="cat-Dategrp-5rplc-43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Timegrp-27rplc-44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истец в приложении Сбербанк Онлайн подтвердила заявку на получение кредитной карты.</w:t>
      </w:r>
    </w:p>
    <w:p w14:paraId="50B0FDA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заявку на получение кредитной карты </w:t>
      </w:r>
      <w:r>
        <w:rPr>
          <w:rStyle w:val="cat-Dategrp-5rplc-4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ПАО Сбербанк направил на номер телефона истца  </w:t>
      </w:r>
      <w:r>
        <w:rPr>
          <w:rStyle w:val="cat-UserDefinedgrp-31rplc-46"/>
          <w:lang w:val="en-BE" w:eastAsia="en-BE" w:bidi="ar-SA"/>
        </w:rPr>
        <w:t>...</w:t>
      </w:r>
      <w:r>
        <w:rPr>
          <w:lang w:val="en-BE" w:eastAsia="en-BE" w:bidi="ar-SA"/>
        </w:rPr>
        <w:t xml:space="preserve"> смс-сообщение, в т.ч</w:t>
      </w:r>
      <w:r>
        <w:rPr>
          <w:lang w:val="en-BE" w:eastAsia="en-BE" w:bidi="ar-SA"/>
        </w:rPr>
        <w:t>. следующего содержания:</w:t>
      </w:r>
    </w:p>
    <w:p w14:paraId="30FFB833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«Вам одобрена кредитная карта с лимитом </w:t>
      </w:r>
      <w:r>
        <w:rPr>
          <w:rStyle w:val="cat-Sumgrp-23rplc-47"/>
          <w:lang w:val="en-BE" w:eastAsia="en-BE" w:bidi="ar-SA"/>
        </w:rPr>
        <w:t>сумма</w:t>
      </w:r>
      <w:r>
        <w:rPr>
          <w:lang w:val="en-BE" w:eastAsia="en-BE" w:bidi="ar-SA"/>
        </w:rPr>
        <w:t>, чтобы подписать договор, войдите в Сбербанк Онлайн. Одобрение действует в течение 30 дней. Если вы не совершали операцию, позвоните на 900»</w:t>
      </w:r>
    </w:p>
    <w:p w14:paraId="5D4A4FC5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подписания договора на получение кредитн</w:t>
      </w:r>
      <w:r>
        <w:rPr>
          <w:lang w:val="en-BE" w:eastAsia="en-BE" w:bidi="ar-SA"/>
        </w:rPr>
        <w:t xml:space="preserve">ой карты, </w:t>
      </w:r>
      <w:r>
        <w:rPr>
          <w:rStyle w:val="cat-Dategrp-5rplc-4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28rplc-49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истцом осуществлен вход в приложение Сбербанк Онлайн и инициировано подписание договора, для чего ПАО Сбербанк на номер телефона истца </w:t>
      </w:r>
      <w:r>
        <w:rPr>
          <w:rStyle w:val="cat-UserDefinedgrp-31rplc-50"/>
          <w:lang w:val="en-BE" w:eastAsia="en-BE" w:bidi="ar-SA"/>
        </w:rPr>
        <w:t>...</w:t>
      </w:r>
      <w:r>
        <w:rPr>
          <w:lang w:val="en-BE" w:eastAsia="en-BE" w:bidi="ar-SA"/>
        </w:rPr>
        <w:t xml:space="preserve"> отправлено смс-сообщение следующего содержания:</w:t>
      </w:r>
    </w:p>
    <w:p w14:paraId="06E33134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«Согласие с условиями по кредитной карте. Код:</w:t>
      </w:r>
      <w:r>
        <w:rPr>
          <w:lang w:val="en-BE" w:eastAsia="en-BE" w:bidi="ar-SA"/>
        </w:rPr>
        <w:t xml:space="preserve"> 65318. Никому его не сообщайте».</w:t>
      </w:r>
    </w:p>
    <w:p w14:paraId="54E35C4D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код клиентом был корректно введен. Договор подписан. По факту заключения договора в электронной форме банк направил клиенту на номер мобильного телефона, зарегистрированного для доступа к смс-банку (Мобильному ба</w:t>
      </w:r>
      <w:r>
        <w:rPr>
          <w:lang w:val="en-BE" w:eastAsia="en-BE" w:bidi="ar-SA"/>
        </w:rPr>
        <w:t>нку) по карте/смс-сообщение на мобильное устройство клиента с установленным Мобильным приложением банка о заключении договора, которое является подтверждением заключения такого договора: «Уважаемый клиент, карта ЕСМС1960 активирована. СберБанк.».</w:t>
      </w:r>
    </w:p>
    <w:p w14:paraId="3158C99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</w:t>
      </w:r>
      <w:r>
        <w:rPr>
          <w:lang w:val="en-BE" w:eastAsia="en-BE" w:bidi="ar-SA"/>
        </w:rPr>
        <w:t>ствии с пунктом 4.22 ДБО клиент обязан обеспечить безопасное, исключающее несанкционированное использование, хранение средств доступа, предусмотренных условиями банковского обслуживания, не передавать средства доступа третьим лицам. В случае утраты средств</w:t>
      </w:r>
      <w:r>
        <w:rPr>
          <w:lang w:val="en-BE" w:eastAsia="en-BE" w:bidi="ar-SA"/>
        </w:rPr>
        <w:t xml:space="preserve"> доступа, ПИНа или карты, а также в случае возникновения риска незаконного использования средств доступа или карты, клиент обязан немедленно уведомить об этом банк через доступные каналы (подразделение банка, контактный центр банка).</w:t>
      </w:r>
    </w:p>
    <w:p w14:paraId="363A9AF8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пп. 6</w:t>
      </w:r>
      <w:r>
        <w:rPr>
          <w:lang w:val="en-BE" w:eastAsia="en-BE" w:bidi="ar-SA"/>
        </w:rPr>
        <w:t xml:space="preserve">.3-6.5, 6.8, 6.10 ДБО: банк не несет ответственности в случае если информация о счетах клиента, карте, контрольной информации клиента, логине (идентификаторе пользователя), паролях системы «Сбербанк Онлайн», коде клиента или проведенных клиентом операциях </w:t>
      </w:r>
      <w:r>
        <w:rPr>
          <w:lang w:val="en-BE" w:eastAsia="en-BE" w:bidi="ar-SA"/>
        </w:rPr>
        <w:t>станет известной иным лицам в результате прослушивания или перехвата информации в каналах связи во время их использования. Банк не несет ответственности в случае если информация о карте, ПИНе, контрольной информации клиента, логине (идентификаторе пользова</w:t>
      </w:r>
      <w:r>
        <w:rPr>
          <w:lang w:val="en-BE" w:eastAsia="en-BE" w:bidi="ar-SA"/>
        </w:rPr>
        <w:t>теля), паролях системы «Сбербанк Онлайн», коде клиента станет известной иным лицам в результате недобросовестного выполнения клиентом условий их хранения и использования. Банк не несет ответственности за последствия исполнения поручении, выданных неуполном</w:t>
      </w:r>
      <w:r>
        <w:rPr>
          <w:lang w:val="en-BE" w:eastAsia="en-BE" w:bidi="ar-SA"/>
        </w:rPr>
        <w:t>оченными лицами, и в тех случаях,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лицами. Банк не несет ответственности в случаях невыполнения клиентом условий Д</w:t>
      </w:r>
      <w:r>
        <w:rPr>
          <w:lang w:val="en-BE" w:eastAsia="en-BE" w:bidi="ar-SA"/>
        </w:rPr>
        <w:t>БО. Клиент несет ответственность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услуги «Мобильный банк», электронные терминалы у партнеров, с использовани</w:t>
      </w:r>
      <w:r>
        <w:rPr>
          <w:lang w:val="en-BE" w:eastAsia="en-BE" w:bidi="ar-SA"/>
        </w:rPr>
        <w:t>ем предусмотренных условиями банковского обслуживания средств его идентификации и аутентификации.</w:t>
      </w:r>
    </w:p>
    <w:p w14:paraId="0157F244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суд приходит к выводу, что банк не несет ответственность за действия клиента в системе, сделанные им под действием 3-их лиц, и разглашения им да</w:t>
      </w:r>
      <w:r>
        <w:rPr>
          <w:lang w:val="en-BE" w:eastAsia="en-BE" w:bidi="ar-SA"/>
        </w:rPr>
        <w:t>нных о его счетах, картах, логине, пароле и т.д. Данные действия являются нарушением условий ДБО со стороны клиента и негативные последствия, наступившие в их результате, полностью ложатся на клиента.</w:t>
      </w:r>
    </w:p>
    <w:p w14:paraId="25F5C9D6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имеющиеся в материалах дела доказательства в с</w:t>
      </w:r>
      <w:r>
        <w:rPr>
          <w:lang w:val="en-BE" w:eastAsia="en-BE" w:bidi="ar-SA"/>
        </w:rPr>
        <w:t>оответствие с требованиями ст.ст.67,71 ГПК РФ, суд приходит к выводу, что спорный кредитный договор был заключен в офертно-акцептном порядке, путем направления истцом в банк предложения заключить с ней договор с применением аналога собственноручной подписи</w:t>
      </w:r>
      <w:r>
        <w:rPr>
          <w:lang w:val="en-BE" w:eastAsia="en-BE" w:bidi="ar-SA"/>
        </w:rPr>
        <w:t>, и акцепта со стороны банка, путем зачисления денежных средств на счет истца.</w:t>
      </w:r>
    </w:p>
    <w:p w14:paraId="614CD3E2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изложенным, суд приходит к выводу о наличии долговых обязательств истца перед банком, правомерности их возникновения (на основании заключенного между истцом и ПАО «Сбе</w:t>
      </w:r>
      <w:r>
        <w:rPr>
          <w:lang w:val="en-BE" w:eastAsia="en-BE" w:bidi="ar-SA"/>
        </w:rPr>
        <w:t>рбанк-России» в офертно-акцептной форме, с использованием электронной подписи, договора), в связи с чем, отсутствуют правовые основания для признания, оспариваемого истцом, кредитного договора недействительным, а соответственно взыскании с ответчика, уплач</w:t>
      </w:r>
      <w:r>
        <w:rPr>
          <w:lang w:val="en-BE" w:eastAsia="en-BE" w:bidi="ar-SA"/>
        </w:rPr>
        <w:t>енных по договору, денежных средств.</w:t>
      </w:r>
    </w:p>
    <w:p w14:paraId="5B6972D5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ст.ст.194-198 ГПК РФ, суд</w:t>
      </w:r>
    </w:p>
    <w:p w14:paraId="776742EC" w14:textId="77777777" w:rsidR="00000000" w:rsidRDefault="00BE617F">
      <w:pPr>
        <w:ind w:firstLine="567"/>
        <w:jc w:val="center"/>
        <w:rPr>
          <w:lang w:val="en-BE" w:eastAsia="en-BE" w:bidi="ar-SA"/>
        </w:rPr>
      </w:pPr>
    </w:p>
    <w:p w14:paraId="4F7F4701" w14:textId="77777777" w:rsidR="00000000" w:rsidRDefault="00BE617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0D3C129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36A62CE5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Снитко Натальи Валерьевны к ПАО «Сбербанк России» о признании кредитного договора недействительным - отказа</w:t>
      </w:r>
      <w:r>
        <w:rPr>
          <w:lang w:val="en-BE" w:eastAsia="en-BE" w:bidi="ar-SA"/>
        </w:rPr>
        <w:t>ть.</w:t>
      </w:r>
    </w:p>
    <w:p w14:paraId="20150F5B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2rplc-5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суда в окончательной форме.</w:t>
      </w:r>
    </w:p>
    <w:p w14:paraId="62FAD871" w14:textId="77777777" w:rsidR="00000000" w:rsidRDefault="00BE617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изготовлено в окончательной форме </w:t>
      </w:r>
      <w:r>
        <w:rPr>
          <w:rStyle w:val="cat-Dategrp-16rplc-55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4C4E64B5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767A3EAE" w14:textId="77777777" w:rsidR="00000000" w:rsidRDefault="00BE617F">
      <w:pPr>
        <w:ind w:firstLine="567"/>
        <w:jc w:val="both"/>
        <w:rPr>
          <w:lang w:val="en-BE" w:eastAsia="en-BE" w:bidi="ar-SA"/>
        </w:rPr>
      </w:pPr>
    </w:p>
    <w:p w14:paraId="4AC38BA0" w14:textId="77777777" w:rsidR="00000000" w:rsidRDefault="00BE617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</w:t>
      </w:r>
      <w:r>
        <w:rPr>
          <w:b/>
          <w:bCs/>
          <w:lang w:val="en-BE" w:eastAsia="en-BE" w:bidi="ar-SA"/>
        </w:rPr>
        <w:t xml:space="preserve">                                                                                                 Д.Г. Шестаков</w:t>
      </w:r>
    </w:p>
    <w:p w14:paraId="4AD0610D" w14:textId="77777777" w:rsidR="00000000" w:rsidRDefault="00BE617F">
      <w:pPr>
        <w:ind w:firstLine="567"/>
        <w:jc w:val="right"/>
        <w:rPr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4A28" w14:textId="77777777" w:rsidR="00000000" w:rsidRDefault="00BE617F">
      <w:r>
        <w:separator/>
      </w:r>
    </w:p>
  </w:endnote>
  <w:endnote w:type="continuationSeparator" w:id="0">
    <w:p w14:paraId="5EEA9C1A" w14:textId="77777777" w:rsidR="00000000" w:rsidRDefault="00BE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8008" w14:textId="77777777" w:rsidR="00000000" w:rsidRDefault="00BE617F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0996735" w14:textId="77777777" w:rsidR="00000000" w:rsidRDefault="00BE617F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80717" w14:textId="77777777" w:rsidR="00000000" w:rsidRDefault="00BE617F">
      <w:r>
        <w:separator/>
      </w:r>
    </w:p>
  </w:footnote>
  <w:footnote w:type="continuationSeparator" w:id="0">
    <w:p w14:paraId="6EAFB88B" w14:textId="77777777" w:rsidR="00000000" w:rsidRDefault="00BE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17F"/>
    <w:rsid w:val="00B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BEB93C3"/>
  <w15:chartTrackingRefBased/>
  <w15:docId w15:val="{C0710DDD-EF65-40FE-8E65-1D5CF99A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3rplc-1">
    <w:name w:val="cat-Date grp-3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Dategrp-4rplc-5">
    <w:name w:val="cat-Date grp-4 rplc-5"/>
    <w:basedOn w:val="a0"/>
  </w:style>
  <w:style w:type="character" w:customStyle="1" w:styleId="cat-UserDefinedgrp-38rplc-10">
    <w:name w:val="cat-UserDefined grp-38 rplc-10"/>
    <w:basedOn w:val="a0"/>
  </w:style>
  <w:style w:type="character" w:customStyle="1" w:styleId="cat-Dategrp-5rplc-11">
    <w:name w:val="cat-Date grp-5 rplc-11"/>
    <w:basedOn w:val="a0"/>
  </w:style>
  <w:style w:type="character" w:customStyle="1" w:styleId="cat-Sumgrp-22rplc-12">
    <w:name w:val="cat-Sum grp-22 rplc-12"/>
    <w:basedOn w:val="a0"/>
  </w:style>
  <w:style w:type="character" w:customStyle="1" w:styleId="cat-PhoneNumbergrp-29rplc-13">
    <w:name w:val="cat-PhoneNumber grp-29 rplc-13"/>
    <w:basedOn w:val="a0"/>
  </w:style>
  <w:style w:type="character" w:customStyle="1" w:styleId="cat-UserDefinedgrp-31rplc-14">
    <w:name w:val="cat-UserDefined grp-31 rplc-14"/>
    <w:basedOn w:val="a0"/>
  </w:style>
  <w:style w:type="character" w:customStyle="1" w:styleId="cat-Dategrp-6rplc-15">
    <w:name w:val="cat-Date grp-6 rplc-15"/>
    <w:basedOn w:val="a0"/>
  </w:style>
  <w:style w:type="character" w:customStyle="1" w:styleId="cat-Dategrp-7rplc-16">
    <w:name w:val="cat-Date grp-7 rplc-16"/>
    <w:basedOn w:val="a0"/>
  </w:style>
  <w:style w:type="character" w:customStyle="1" w:styleId="cat-Dategrp-8rplc-17">
    <w:name w:val="cat-Date grp-8 rplc-17"/>
    <w:basedOn w:val="a0"/>
  </w:style>
  <w:style w:type="character" w:customStyle="1" w:styleId="cat-Dategrp-9rplc-18">
    <w:name w:val="cat-Date grp-9 rplc-18"/>
    <w:basedOn w:val="a0"/>
  </w:style>
  <w:style w:type="character" w:customStyle="1" w:styleId="cat-Dategrp-10rplc-19">
    <w:name w:val="cat-Date grp-10 rplc-19"/>
    <w:basedOn w:val="a0"/>
  </w:style>
  <w:style w:type="character" w:customStyle="1" w:styleId="cat-UserDefinedgrp-32rplc-20">
    <w:name w:val="cat-UserDefined grp-32 rplc-20"/>
    <w:basedOn w:val="a0"/>
  </w:style>
  <w:style w:type="character" w:customStyle="1" w:styleId="cat-UserDefinedgrp-33rplc-21">
    <w:name w:val="cat-UserDefined grp-33 rplc-21"/>
    <w:basedOn w:val="a0"/>
  </w:style>
  <w:style w:type="character" w:customStyle="1" w:styleId="cat-Dategrp-11rplc-22">
    <w:name w:val="cat-Date grp-11 rplc-22"/>
    <w:basedOn w:val="a0"/>
  </w:style>
  <w:style w:type="character" w:customStyle="1" w:styleId="cat-UserDefinedgrp-34rplc-23">
    <w:name w:val="cat-UserDefined grp-34 rplc-23"/>
    <w:basedOn w:val="a0"/>
  </w:style>
  <w:style w:type="character" w:customStyle="1" w:styleId="cat-UserDefinedgrp-35rplc-24">
    <w:name w:val="cat-UserDefined grp-35 rplc-24"/>
    <w:basedOn w:val="a0"/>
  </w:style>
  <w:style w:type="character" w:customStyle="1" w:styleId="cat-Dategrp-12rplc-25">
    <w:name w:val="cat-Date grp-12 rplc-25"/>
    <w:basedOn w:val="a0"/>
  </w:style>
  <w:style w:type="character" w:customStyle="1" w:styleId="cat-UserDefinedgrp-36rplc-26">
    <w:name w:val="cat-UserDefined grp-36 rplc-26"/>
    <w:basedOn w:val="a0"/>
  </w:style>
  <w:style w:type="character" w:customStyle="1" w:styleId="cat-UserDefinedgrp-37rplc-27">
    <w:name w:val="cat-UserDefined grp-37 rplc-27"/>
    <w:basedOn w:val="a0"/>
  </w:style>
  <w:style w:type="character" w:customStyle="1" w:styleId="cat-OrganizationNamegrp-25rplc-28">
    <w:name w:val="cat-OrganizationName grp-25 rplc-28"/>
    <w:basedOn w:val="a0"/>
  </w:style>
  <w:style w:type="character" w:customStyle="1" w:styleId="cat-UserDefinedgrp-32rplc-29">
    <w:name w:val="cat-UserDefined grp-32 rplc-29"/>
    <w:basedOn w:val="a0"/>
  </w:style>
  <w:style w:type="character" w:customStyle="1" w:styleId="cat-PhoneNumbergrp-30rplc-30">
    <w:name w:val="cat-PhoneNumber grp-30 rplc-30"/>
    <w:basedOn w:val="a0"/>
  </w:style>
  <w:style w:type="character" w:customStyle="1" w:styleId="cat-Dategrp-13rplc-31">
    <w:name w:val="cat-Date grp-13 rplc-31"/>
    <w:basedOn w:val="a0"/>
  </w:style>
  <w:style w:type="character" w:customStyle="1" w:styleId="cat-UserDefinedgrp-31rplc-32">
    <w:name w:val="cat-UserDefined grp-31 rplc-32"/>
    <w:basedOn w:val="a0"/>
  </w:style>
  <w:style w:type="character" w:customStyle="1" w:styleId="cat-Dategrp-14rplc-33">
    <w:name w:val="cat-Date grp-14 rplc-33"/>
    <w:basedOn w:val="a0"/>
  </w:style>
  <w:style w:type="character" w:customStyle="1" w:styleId="cat-UserDefinedgrp-36rplc-34">
    <w:name w:val="cat-UserDefined grp-36 rplc-34"/>
    <w:basedOn w:val="a0"/>
  </w:style>
  <w:style w:type="character" w:customStyle="1" w:styleId="cat-UserDefinedgrp-31rplc-35">
    <w:name w:val="cat-UserDefined grp-31 rplc-35"/>
    <w:basedOn w:val="a0"/>
  </w:style>
  <w:style w:type="character" w:customStyle="1" w:styleId="cat-Dategrp-15rplc-36">
    <w:name w:val="cat-Date grp-15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Dategrp-5rplc-38">
    <w:name w:val="cat-Date grp-5 rplc-38"/>
    <w:basedOn w:val="a0"/>
  </w:style>
  <w:style w:type="character" w:customStyle="1" w:styleId="cat-UserDefinedgrp-38rplc-39">
    <w:name w:val="cat-UserDefined grp-38 rplc-39"/>
    <w:basedOn w:val="a0"/>
  </w:style>
  <w:style w:type="character" w:customStyle="1" w:styleId="cat-Sumgrp-23rplc-40">
    <w:name w:val="cat-Sum grp-23 rplc-40"/>
    <w:basedOn w:val="a0"/>
  </w:style>
  <w:style w:type="character" w:customStyle="1" w:styleId="cat-UserDefinedgrp-34rplc-41">
    <w:name w:val="cat-UserDefined grp-34 rplc-41"/>
    <w:basedOn w:val="a0"/>
  </w:style>
  <w:style w:type="character" w:customStyle="1" w:styleId="cat-Dategrp-11rplc-42">
    <w:name w:val="cat-Date grp-11 rplc-42"/>
    <w:basedOn w:val="a0"/>
  </w:style>
  <w:style w:type="character" w:customStyle="1" w:styleId="cat-Dategrp-5rplc-43">
    <w:name w:val="cat-Date grp-5 rplc-43"/>
    <w:basedOn w:val="a0"/>
  </w:style>
  <w:style w:type="character" w:customStyle="1" w:styleId="cat-Timegrp-27rplc-44">
    <w:name w:val="cat-Time grp-27 rplc-44"/>
    <w:basedOn w:val="a0"/>
  </w:style>
  <w:style w:type="character" w:customStyle="1" w:styleId="cat-Dategrp-5rplc-45">
    <w:name w:val="cat-Date grp-5 rplc-45"/>
    <w:basedOn w:val="a0"/>
  </w:style>
  <w:style w:type="character" w:customStyle="1" w:styleId="cat-UserDefinedgrp-31rplc-46">
    <w:name w:val="cat-UserDefined grp-31 rplc-46"/>
    <w:basedOn w:val="a0"/>
  </w:style>
  <w:style w:type="character" w:customStyle="1" w:styleId="cat-Sumgrp-23rplc-47">
    <w:name w:val="cat-Sum grp-23 rplc-47"/>
    <w:basedOn w:val="a0"/>
  </w:style>
  <w:style w:type="character" w:customStyle="1" w:styleId="cat-Dategrp-5rplc-48">
    <w:name w:val="cat-Date grp-5 rplc-48"/>
    <w:basedOn w:val="a0"/>
  </w:style>
  <w:style w:type="character" w:customStyle="1" w:styleId="cat-Timegrp-28rplc-49">
    <w:name w:val="cat-Time grp-28 rplc-49"/>
    <w:basedOn w:val="a0"/>
  </w:style>
  <w:style w:type="character" w:customStyle="1" w:styleId="cat-UserDefinedgrp-31rplc-50">
    <w:name w:val="cat-UserDefined grp-31 rplc-50"/>
    <w:basedOn w:val="a0"/>
  </w:style>
  <w:style w:type="character" w:customStyle="1" w:styleId="cat-Addressgrp-2rplc-54">
    <w:name w:val="cat-Address grp-2 rplc-54"/>
    <w:basedOn w:val="a0"/>
  </w:style>
  <w:style w:type="character" w:customStyle="1" w:styleId="cat-Dategrp-16rplc-55">
    <w:name w:val="cat-Date grp-16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-praktika.ru/precedent/16877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ud-praktika.ru/precedent/16877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3417</Words>
  <Characters>19479</Characters>
  <Application>Microsoft Office Word</Application>
  <DocSecurity>0</DocSecurity>
  <Lines>162</Lines>
  <Paragraphs>45</Paragraphs>
  <ScaleCrop>false</ScaleCrop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